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88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449"/>
        <w:gridCol w:w="1134"/>
        <w:gridCol w:w="1843"/>
        <w:gridCol w:w="3544"/>
        <w:gridCol w:w="4961"/>
        <w:gridCol w:w="3457"/>
      </w:tblGrid>
      <w:tr w:rsidR="00836E96" w:rsidRPr="00224554" w14:paraId="3385205C" w14:textId="77777777" w:rsidTr="00AA2794">
        <w:tc>
          <w:tcPr>
            <w:tcW w:w="153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336BC" w14:textId="77777777" w:rsidR="00836E96" w:rsidRPr="00224554" w:rsidRDefault="00E01636">
            <w:pPr>
              <w:pageBreakBefore/>
              <w:rPr>
                <w:rFonts w:ascii="Lato" w:hAnsi="Lato" w:cstheme="minorHAnsi"/>
                <w:b/>
                <w:i/>
                <w:sz w:val="18"/>
                <w:szCs w:val="18"/>
              </w:rPr>
            </w:pPr>
            <w:bookmarkStart w:id="0" w:name="_Hlk215840607"/>
            <w:bookmarkEnd w:id="0"/>
            <w:r w:rsidRPr="00224554">
              <w:rPr>
                <w:rFonts w:ascii="Lato" w:hAnsi="Lato" w:cstheme="minorHAnsi"/>
                <w:b/>
                <w:i/>
                <w:sz w:val="18"/>
                <w:szCs w:val="18"/>
              </w:rPr>
              <w:t>Nazwa dokumentu:</w:t>
            </w:r>
          </w:p>
          <w:p w14:paraId="33376BF1" w14:textId="77777777" w:rsidR="00836E96" w:rsidRPr="00224554" w:rsidRDefault="00E01636">
            <w:pPr>
              <w:rPr>
                <w:rFonts w:ascii="Lato" w:hAnsi="Lato" w:cstheme="minorHAnsi"/>
                <w:b/>
                <w:i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opisu założeń projektu informatycznego pn. </w:t>
            </w:r>
            <w:r w:rsidRPr="00224554">
              <w:rPr>
                <w:rFonts w:ascii="Lato" w:hAnsi="Lato" w:cstheme="minorHAnsi"/>
                <w:bCs/>
                <w:i/>
                <w:sz w:val="18"/>
                <w:szCs w:val="18"/>
              </w:rPr>
              <w:t>Opracowanie i wdrożenie systemu Elektroniczna Platforma Usług Konsularnych (</w:t>
            </w:r>
            <w:proofErr w:type="spellStart"/>
            <w:r w:rsidRPr="00224554">
              <w:rPr>
                <w:rFonts w:ascii="Lato" w:hAnsi="Lato" w:cstheme="minorHAnsi"/>
                <w:bCs/>
                <w:i/>
                <w:sz w:val="18"/>
                <w:szCs w:val="18"/>
              </w:rPr>
              <w:t>ePUK</w:t>
            </w:r>
            <w:proofErr w:type="spellEnd"/>
            <w:r w:rsidRPr="00224554">
              <w:rPr>
                <w:rFonts w:ascii="Lato" w:hAnsi="Lato" w:cstheme="minorHAnsi"/>
                <w:bCs/>
                <w:i/>
                <w:sz w:val="18"/>
                <w:szCs w:val="18"/>
              </w:rPr>
              <w:t>)</w:t>
            </w:r>
          </w:p>
          <w:p w14:paraId="7034C561" w14:textId="77777777" w:rsidR="00836E96" w:rsidRPr="00224554" w:rsidRDefault="00836E96">
            <w:pPr>
              <w:rPr>
                <w:rFonts w:ascii="Lato" w:hAnsi="Lato" w:cstheme="minorHAnsi"/>
                <w:b/>
                <w:i/>
                <w:sz w:val="18"/>
                <w:szCs w:val="18"/>
              </w:rPr>
            </w:pPr>
          </w:p>
        </w:tc>
      </w:tr>
      <w:tr w:rsidR="00836E96" w:rsidRPr="00224554" w14:paraId="1886F4C8" w14:textId="77777777" w:rsidTr="00224554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8A9" w14:textId="77777777" w:rsidR="00836E96" w:rsidRPr="00224554" w:rsidRDefault="00E01636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B29B4" w14:textId="77777777" w:rsidR="00836E96" w:rsidRPr="00224554" w:rsidRDefault="00E01636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Organ wnoszący uwagi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B9B9B" w14:textId="77777777" w:rsidR="00836E96" w:rsidRPr="00224554" w:rsidRDefault="00E01636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Jednostka redakcyjna, do której wnoszone są uwagi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D7281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Treść uwagi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EBFF7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 xml:space="preserve">Propozycja zmian </w:t>
            </w: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zapisu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73F5F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Odniesienie do uwagi</w:t>
            </w:r>
          </w:p>
        </w:tc>
      </w:tr>
      <w:tr w:rsidR="00224554" w:rsidRPr="00224554" w14:paraId="1EFD580F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shd w:val="clear" w:color="auto" w:fill="auto"/>
          </w:tcPr>
          <w:p w14:paraId="789239BD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bookmarkStart w:id="1" w:name="_Hlk215840607_kopia_1"/>
            <w:bookmarkEnd w:id="1"/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CBDF1C3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3DF0811C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E95DCA6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1.1. Identyfikacja problemu i potrzeb</w:t>
            </w:r>
          </w:p>
        </w:tc>
        <w:tc>
          <w:tcPr>
            <w:tcW w:w="3544" w:type="dxa"/>
            <w:shd w:val="clear" w:color="auto" w:fill="auto"/>
          </w:tcPr>
          <w:p w14:paraId="663E9F19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W tabeli w części dotyczącej interesariusza (str. 5) – </w:t>
            </w:r>
            <w:r w:rsidRPr="00224554">
              <w:rPr>
                <w:rFonts w:ascii="Lato" w:hAnsi="Lato" w:cs="Roboto-Regular"/>
                <w:i/>
                <w:sz w:val="18"/>
                <w:szCs w:val="18"/>
              </w:rPr>
              <w:t>Zainteresowane jednostki organizacyjne państwa</w:t>
            </w:r>
            <w:r w:rsidRPr="00224554">
              <w:rPr>
                <w:rFonts w:ascii="Lato" w:hAnsi="Lato" w:cs="Roboto-Regular"/>
                <w:sz w:val="18"/>
                <w:szCs w:val="18"/>
              </w:rPr>
              <w:t>, w opisie zidentyfikowanych problemów, nie uwzględniono braku bezpośredniego dostępu konsula do centralnego rejestru danych o nabyciu i utracie obywatelstwa polskiego oraz centralnego rejestru danych o repatriacji.</w:t>
            </w:r>
          </w:p>
          <w:p w14:paraId="0B6A7746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/>
                <w:sz w:val="18"/>
                <w:szCs w:val="18"/>
              </w:rPr>
              <w:t>Centralny rejestr danych o nabyciu i utracie obywatelstwa polskiego oraz rejestry w sprawach repatriacji prowadzone są w ramach systemu informatycznego Pobyt będącego zbiorem rejestrów o których mowa w przepisie art. 449</w:t>
            </w:r>
            <w:r w:rsidRPr="00224554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Pr="00224554">
              <w:rPr>
                <w:rFonts w:ascii="Lato" w:hAnsi="Lato"/>
                <w:sz w:val="18"/>
                <w:szCs w:val="18"/>
              </w:rPr>
              <w:t> ust. 2 ustawy o cudzoziemcach.</w:t>
            </w:r>
          </w:p>
          <w:p w14:paraId="0E6E6F35" w14:textId="77777777" w:rsidR="00AA2794" w:rsidRPr="00224554" w:rsidRDefault="00AA2794" w:rsidP="00224554">
            <w:pPr>
              <w:tabs>
                <w:tab w:val="left" w:pos="720"/>
              </w:tabs>
              <w:jc w:val="both"/>
              <w:rPr>
                <w:rFonts w:ascii="Lato" w:hAnsi="Lato"/>
                <w:sz w:val="18"/>
                <w:szCs w:val="18"/>
              </w:rPr>
            </w:pPr>
            <w:r w:rsidRPr="00224554">
              <w:rPr>
                <w:rFonts w:ascii="Lato" w:hAnsi="Lato"/>
                <w:sz w:val="18"/>
                <w:szCs w:val="18"/>
              </w:rPr>
              <w:t>Opis założeń systemu Elektronicznej Platformy Usług Konsularnych (</w:t>
            </w:r>
            <w:proofErr w:type="spellStart"/>
            <w:r w:rsidRPr="00224554">
              <w:rPr>
                <w:rFonts w:ascii="Lato" w:hAnsi="Lato"/>
                <w:sz w:val="18"/>
                <w:szCs w:val="18"/>
              </w:rPr>
              <w:t>ePUK</w:t>
            </w:r>
            <w:proofErr w:type="spellEnd"/>
            <w:r w:rsidRPr="00224554">
              <w:rPr>
                <w:rFonts w:ascii="Lato" w:hAnsi="Lato"/>
                <w:sz w:val="18"/>
                <w:szCs w:val="18"/>
              </w:rPr>
              <w:t>) pomija problem braku możliwości realizacji przez konsula zadań wynikających z ustawy o obywatelstwie polskim oraz ustawy o repatriacji związanych z ww. rejestrami (por. pkt 3 i 4 tabeli uwag), pomimo, iż uwzględnia bezpośredni dostęp konsula do systemu Pobyt, w ramach którego prowadzone są te rejestry.</w:t>
            </w:r>
          </w:p>
        </w:tc>
        <w:tc>
          <w:tcPr>
            <w:tcW w:w="4961" w:type="dxa"/>
            <w:shd w:val="clear" w:color="auto" w:fill="auto"/>
          </w:tcPr>
          <w:p w14:paraId="3DACEF43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Dodanie kolejnych zidentyfikowanych problemów:</w:t>
            </w:r>
          </w:p>
          <w:p w14:paraId="2E63C138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- brak możliwości rejestracji przez konsula wniosków i rozstrzygnięć w centralnym rejestrze danych o nabyciu i utracie obywatelstwa polskiego oraz centralnym rejestrze danych o repatriacji, prowadzonych w ramach systemu Pobyt;</w:t>
            </w:r>
          </w:p>
          <w:p w14:paraId="43F8600E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- brak możliwości bezpośredniego pozyskania przez konsula informacji na temat historii migracyjnej w Polsce osoby aplikującej o wizę, w szczególności informacji w zakresie nabycia przez tę osobę obywatelstwa polskiego. </w:t>
            </w:r>
          </w:p>
        </w:tc>
        <w:tc>
          <w:tcPr>
            <w:tcW w:w="3457" w:type="dxa"/>
          </w:tcPr>
          <w:p w14:paraId="2A89C357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OZPI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ePUK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zostanie uzupełnione o problemy wskazane w uwadze nr 1 MSWiA.</w:t>
            </w:r>
          </w:p>
          <w:p w14:paraId="0217BAAC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  <w:p w14:paraId="636118B2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W związku z wymogami w zakresie trybu wnioskowania w sprawach obywatelskich (obecnie wykluczona forma czysto elektroniczna) ewentualne e-usługi nie mogą być wdrożone w ramach tego projektu. Jednocześnie system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ePUK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będzie służył do przetwarzania wszystkich danych i wniosków składanych w urzędach konsularnych, w tym również składanych w formie tradycyjnej, co umożliwi automatyzację rejestracji danych w odpowiednich rejestrach. Zostanie to uwzględnione w liście przepływów.</w:t>
            </w:r>
          </w:p>
        </w:tc>
      </w:tr>
      <w:tr w:rsidR="00224554" w:rsidRPr="00224554" w14:paraId="4EEC4B03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shd w:val="clear" w:color="auto" w:fill="auto"/>
          </w:tcPr>
          <w:p w14:paraId="7827F76F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04C622C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7D5F0DC5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2A02BF6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1.2. Opis stanu obecnego</w:t>
            </w:r>
          </w:p>
        </w:tc>
        <w:tc>
          <w:tcPr>
            <w:tcW w:w="3544" w:type="dxa"/>
            <w:shd w:val="clear" w:color="auto" w:fill="auto"/>
          </w:tcPr>
          <w:p w14:paraId="15C35DB4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Opis nie uwzględnia braku możliwości realizacji przez konsula zadań wynikających z ustawy o obywatelstwie polskim i ustawy o repatriacji. </w:t>
            </w:r>
          </w:p>
          <w:p w14:paraId="02EE73FF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/>
                <w:sz w:val="18"/>
                <w:szCs w:val="18"/>
              </w:rPr>
              <w:t>(szczegółowe informacje zawarte w pkt 3 i 4 tabeli uwag).</w:t>
            </w:r>
          </w:p>
        </w:tc>
        <w:tc>
          <w:tcPr>
            <w:tcW w:w="4961" w:type="dxa"/>
            <w:shd w:val="clear" w:color="auto" w:fill="auto"/>
          </w:tcPr>
          <w:p w14:paraId="10E4BA8E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Dodanie w drugim akapicie zdania: </w:t>
            </w:r>
          </w:p>
          <w:p w14:paraId="31D5A6EA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Pomimo modernizacji W-K</w:t>
            </w:r>
            <w:r w:rsidRPr="00224554">
              <w:rPr>
                <w:rFonts w:ascii="Lato" w:hAnsi="Lato"/>
                <w:sz w:val="18"/>
                <w:szCs w:val="18"/>
              </w:rPr>
              <w:t>, konsulowie nadal nie posiadają bezpośredniego dostępu do centralnego rejestru danych o nabyciu i utracie obywatelstwa polskiego oraz centralnego rejestru danych o repatriacji, prowadzonych w ramach sytemu Pobyt , a w konsekwencji nie realizują ustawowych obowiązków wynikających z art. 60 ust. 5 ustawy o obywatelstwie polskim oraz art. 34 ust. 3 ustawy o repatriacji. Obecnie powyższe zadania konsula realizowane są w zastępstwie przez Departament Obywatelstwa i Repatriacji MSWiA.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457" w:type="dxa"/>
          </w:tcPr>
          <w:p w14:paraId="6C713ADE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Uwaga jest słuszna, jednak w tej pozycji formularza OZPI nie ma już miejsca na jakiekolwiek dodatkowe treści. Zostanie uzupełniona części dot. interesariuszy (str. 5) – </w:t>
            </w:r>
            <w:r w:rsidRPr="00224554">
              <w:rPr>
                <w:rFonts w:ascii="Lato" w:hAnsi="Lato" w:cs="Roboto-Regular"/>
                <w:i/>
                <w:sz w:val="18"/>
                <w:szCs w:val="18"/>
              </w:rPr>
              <w:t>Zainteresowane jednostki organizacyjne państwa</w:t>
            </w:r>
          </w:p>
        </w:tc>
      </w:tr>
      <w:tr w:rsidR="00224554" w:rsidRPr="00224554" w14:paraId="68D5D634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shd w:val="clear" w:color="auto" w:fill="auto"/>
          </w:tcPr>
          <w:p w14:paraId="5A068F60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8B7352F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378027B6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A805093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2.2. Udostępnione e-usługi</w:t>
            </w:r>
          </w:p>
        </w:tc>
        <w:tc>
          <w:tcPr>
            <w:tcW w:w="3544" w:type="dxa"/>
            <w:shd w:val="clear" w:color="auto" w:fill="auto"/>
          </w:tcPr>
          <w:p w14:paraId="37A000FA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Zaproponowane e-usługi nie uwzględniają zadań konsula wynikających z art. 60 ust. 5 ustawy o obywatelstwie polskim.</w:t>
            </w:r>
          </w:p>
          <w:p w14:paraId="10524E0A" w14:textId="77777777" w:rsidR="00AA2794" w:rsidRPr="00224554" w:rsidRDefault="00AA2794" w:rsidP="00224554">
            <w:pPr>
              <w:pStyle w:val="divparagraph"/>
              <w:spacing w:line="240" w:lineRule="auto"/>
              <w:jc w:val="both"/>
              <w:rPr>
                <w:rFonts w:ascii="Lato" w:hAnsi="Lato"/>
                <w:color w:val="auto"/>
              </w:rPr>
            </w:pPr>
            <w:r w:rsidRPr="00224554">
              <w:rPr>
                <w:rFonts w:ascii="Lato" w:hAnsi="Lato"/>
                <w:bCs/>
                <w:color w:val="auto"/>
              </w:rPr>
              <w:t xml:space="preserve">Zgodnie z art. 59 ust. </w:t>
            </w:r>
            <w:r w:rsidRPr="00224554">
              <w:rPr>
                <w:rFonts w:ascii="Lato" w:hAnsi="Lato"/>
                <w:color w:val="auto"/>
              </w:rPr>
              <w:t>1 u</w:t>
            </w:r>
            <w:r w:rsidRPr="00224554">
              <w:rPr>
                <w:rFonts w:ascii="Lato" w:hAnsi="Lato"/>
                <w:bCs/>
                <w:color w:val="auto"/>
              </w:rPr>
              <w:t xml:space="preserve">stawy z dnia 2 </w:t>
            </w:r>
            <w:r w:rsidRPr="00224554">
              <w:rPr>
                <w:rFonts w:ascii="Lato" w:hAnsi="Lato"/>
                <w:bCs/>
                <w:color w:val="auto"/>
              </w:rPr>
              <w:lastRenderedPageBreak/>
              <w:t xml:space="preserve">kwietnia 2009 r. o obywatelstwie polskim, </w:t>
            </w:r>
            <w:r w:rsidRPr="00224554">
              <w:rPr>
                <w:rFonts w:ascii="Lato" w:hAnsi="Lato"/>
                <w:color w:val="auto"/>
              </w:rPr>
              <w:t xml:space="preserve">minister właściwy do spraw wewnętrznych tworzy i prowadzi w systemie teleinformatycznym </w:t>
            </w:r>
            <w:r w:rsidRPr="00224554">
              <w:rPr>
                <w:rFonts w:ascii="Lato" w:hAnsi="Lato"/>
                <w:i/>
                <w:color w:val="auto"/>
              </w:rPr>
              <w:t>centralny rejestr danych o nabyciu i utracie obywatelstwa polskiego</w:t>
            </w:r>
            <w:r w:rsidRPr="00224554">
              <w:rPr>
                <w:rFonts w:ascii="Lato" w:hAnsi="Lato"/>
                <w:color w:val="auto"/>
              </w:rPr>
              <w:t>, zwany dalej rejestrem centralnym. Natomiast stosownie do przepisu art. 59 ust. 3 ustawy, rejestr centralny obejmuje dane z rejestrów prowadzonych w sprawach:</w:t>
            </w:r>
          </w:p>
          <w:p w14:paraId="40889998" w14:textId="77777777" w:rsidR="00AA2794" w:rsidRPr="00224554" w:rsidRDefault="00AA2794" w:rsidP="00224554">
            <w:pPr>
              <w:pStyle w:val="divpoint"/>
              <w:spacing w:line="240" w:lineRule="auto"/>
              <w:rPr>
                <w:rFonts w:ascii="Lato" w:hAnsi="Lato"/>
                <w:color w:val="auto"/>
              </w:rPr>
            </w:pPr>
            <w:r w:rsidRPr="00224554">
              <w:rPr>
                <w:rFonts w:ascii="Lato" w:hAnsi="Lato"/>
                <w:bCs/>
                <w:color w:val="auto"/>
              </w:rPr>
              <w:t xml:space="preserve">1) </w:t>
            </w:r>
            <w:r w:rsidRPr="00224554">
              <w:rPr>
                <w:rFonts w:ascii="Lato" w:hAnsi="Lato"/>
                <w:color w:val="auto"/>
              </w:rPr>
              <w:t xml:space="preserve"> nadania obywatelstwa polskiego;</w:t>
            </w:r>
          </w:p>
          <w:p w14:paraId="53792C64" w14:textId="77777777" w:rsidR="00AA2794" w:rsidRPr="00224554" w:rsidRDefault="00AA2794" w:rsidP="00224554">
            <w:pPr>
              <w:pStyle w:val="divpoint"/>
              <w:spacing w:line="240" w:lineRule="auto"/>
              <w:rPr>
                <w:rFonts w:ascii="Lato" w:hAnsi="Lato"/>
                <w:color w:val="auto"/>
              </w:rPr>
            </w:pPr>
            <w:r w:rsidRPr="00224554">
              <w:rPr>
                <w:rFonts w:ascii="Lato" w:hAnsi="Lato"/>
                <w:bCs/>
                <w:color w:val="auto"/>
              </w:rPr>
              <w:t xml:space="preserve">2) </w:t>
            </w:r>
            <w:r w:rsidRPr="00224554">
              <w:rPr>
                <w:rFonts w:ascii="Lato" w:hAnsi="Lato"/>
                <w:color w:val="auto"/>
              </w:rPr>
              <w:t xml:space="preserve"> uznania za obywatela polskiego;</w:t>
            </w:r>
          </w:p>
          <w:p w14:paraId="6AA8DFCD" w14:textId="77777777" w:rsidR="00AA2794" w:rsidRPr="00224554" w:rsidRDefault="00AA2794" w:rsidP="00224554">
            <w:pPr>
              <w:pStyle w:val="divpoint"/>
              <w:spacing w:line="240" w:lineRule="auto"/>
              <w:rPr>
                <w:rFonts w:ascii="Lato" w:hAnsi="Lato"/>
                <w:color w:val="auto"/>
              </w:rPr>
            </w:pPr>
            <w:r w:rsidRPr="00224554">
              <w:rPr>
                <w:rFonts w:ascii="Lato" w:hAnsi="Lato"/>
                <w:bCs/>
                <w:color w:val="auto"/>
              </w:rPr>
              <w:t xml:space="preserve">3) </w:t>
            </w:r>
            <w:r w:rsidRPr="00224554">
              <w:rPr>
                <w:rFonts w:ascii="Lato" w:hAnsi="Lato"/>
                <w:color w:val="auto"/>
              </w:rPr>
              <w:t xml:space="preserve"> przywrócenia obywatelstwa polskiego;</w:t>
            </w:r>
          </w:p>
          <w:p w14:paraId="6B9EB5C1" w14:textId="77777777" w:rsidR="00AA2794" w:rsidRPr="00224554" w:rsidRDefault="00AA2794" w:rsidP="00224554">
            <w:pPr>
              <w:pStyle w:val="divpoint"/>
              <w:spacing w:line="240" w:lineRule="auto"/>
              <w:rPr>
                <w:rFonts w:ascii="Lato" w:hAnsi="Lato"/>
                <w:color w:val="auto"/>
              </w:rPr>
            </w:pPr>
            <w:r w:rsidRPr="00224554">
              <w:rPr>
                <w:rFonts w:ascii="Lato" w:hAnsi="Lato"/>
                <w:bCs/>
                <w:color w:val="auto"/>
              </w:rPr>
              <w:t xml:space="preserve">4) </w:t>
            </w:r>
            <w:r w:rsidRPr="00224554">
              <w:rPr>
                <w:rFonts w:ascii="Lato" w:hAnsi="Lato"/>
                <w:color w:val="auto"/>
              </w:rPr>
              <w:t xml:space="preserve"> wyrażenia zgody na zrzeczenie się obywatelstwa polskiego;</w:t>
            </w:r>
          </w:p>
          <w:p w14:paraId="42AF97BD" w14:textId="77777777" w:rsidR="00AA2794" w:rsidRPr="00224554" w:rsidRDefault="00AA2794" w:rsidP="00224554">
            <w:pPr>
              <w:pStyle w:val="divpoint"/>
              <w:spacing w:line="240" w:lineRule="auto"/>
              <w:rPr>
                <w:rFonts w:ascii="Lato" w:hAnsi="Lato"/>
                <w:color w:val="auto"/>
              </w:rPr>
            </w:pPr>
            <w:r w:rsidRPr="00224554">
              <w:rPr>
                <w:rFonts w:ascii="Lato" w:hAnsi="Lato"/>
                <w:bCs/>
                <w:color w:val="auto"/>
              </w:rPr>
              <w:t xml:space="preserve">5) </w:t>
            </w:r>
            <w:r w:rsidRPr="00224554">
              <w:rPr>
                <w:rFonts w:ascii="Lato" w:hAnsi="Lato"/>
                <w:color w:val="auto"/>
              </w:rPr>
              <w:t xml:space="preserve"> wyboru dla małoletniego obywatelstwa innego państwa.</w:t>
            </w:r>
          </w:p>
          <w:p w14:paraId="655CF36B" w14:textId="77777777" w:rsidR="00AA2794" w:rsidRPr="00224554" w:rsidRDefault="00AA2794" w:rsidP="00224554">
            <w:pPr>
              <w:pStyle w:val="divparagraph"/>
              <w:spacing w:line="240" w:lineRule="auto"/>
              <w:jc w:val="both"/>
              <w:rPr>
                <w:rFonts w:ascii="Lato" w:hAnsi="Lato"/>
                <w:color w:val="auto"/>
              </w:rPr>
            </w:pPr>
            <w:r w:rsidRPr="00224554">
              <w:rPr>
                <w:rFonts w:ascii="Lato" w:hAnsi="Lato"/>
                <w:color w:val="auto"/>
              </w:rPr>
              <w:t>Jednocześnie, zgodnie z art. 60 ustawy, rejestry, o których mowa w:</w:t>
            </w:r>
          </w:p>
          <w:p w14:paraId="39F32DD5" w14:textId="642F91D9" w:rsidR="00AA2794" w:rsidRPr="00224554" w:rsidRDefault="00AA2794" w:rsidP="00224554">
            <w:pPr>
              <w:pStyle w:val="divparagraph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auto"/>
              </w:rPr>
            </w:pPr>
            <w:r w:rsidRPr="00224554">
              <w:rPr>
                <w:rFonts w:ascii="Lato" w:hAnsi="Lato"/>
                <w:color w:val="auto"/>
              </w:rPr>
              <w:t xml:space="preserve">art. 59 ust. 3 pkt 1 i 4, prowadzi minister właściwy do spraw wewnętrznych, wojewoda i </w:t>
            </w:r>
            <w:r w:rsidRPr="00224554">
              <w:rPr>
                <w:rFonts w:ascii="Lato" w:hAnsi="Lato"/>
                <w:b/>
                <w:color w:val="auto"/>
                <w:u w:val="single"/>
              </w:rPr>
              <w:t>konsul</w:t>
            </w:r>
            <w:r w:rsidRPr="00224554">
              <w:rPr>
                <w:rFonts w:ascii="Lato" w:hAnsi="Lato"/>
                <w:color w:val="auto"/>
              </w:rPr>
              <w:t>, każdy w zakresie swojej właściwości (ust. 1);</w:t>
            </w:r>
          </w:p>
          <w:p w14:paraId="413215AD" w14:textId="2DF5ABE8" w:rsidR="00AA2794" w:rsidRPr="00224554" w:rsidRDefault="00AA2794" w:rsidP="00224554">
            <w:pPr>
              <w:pStyle w:val="divparagraph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auto"/>
              </w:rPr>
            </w:pPr>
            <w:r w:rsidRPr="00224554">
              <w:rPr>
                <w:rFonts w:ascii="Lato" w:hAnsi="Lato"/>
                <w:color w:val="auto"/>
              </w:rPr>
              <w:t>art. 59 ust. 3 pkt 2, prowadzi minister właściwy do spraw wewnętrznych i wojewoda, każdy w zakresie swojej właściwości (ust. 2);</w:t>
            </w:r>
          </w:p>
          <w:p w14:paraId="39766AC2" w14:textId="14E6179A" w:rsidR="00AA2794" w:rsidRPr="00224554" w:rsidRDefault="00AA2794" w:rsidP="00224554">
            <w:pPr>
              <w:pStyle w:val="divparagraph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auto"/>
              </w:rPr>
            </w:pPr>
            <w:r w:rsidRPr="00224554">
              <w:rPr>
                <w:rFonts w:ascii="Lato" w:hAnsi="Lato"/>
                <w:color w:val="auto"/>
              </w:rPr>
              <w:t xml:space="preserve">art. 59 ust. 3 pkt 3, prowadzi minister właściwy do spraw wewnętrznych i </w:t>
            </w:r>
            <w:r w:rsidRPr="00224554">
              <w:rPr>
                <w:rFonts w:ascii="Lato" w:hAnsi="Lato"/>
                <w:b/>
                <w:color w:val="auto"/>
                <w:u w:val="single"/>
              </w:rPr>
              <w:t>konsul</w:t>
            </w:r>
            <w:r w:rsidRPr="00224554">
              <w:rPr>
                <w:rFonts w:ascii="Lato" w:hAnsi="Lato"/>
                <w:color w:val="auto"/>
              </w:rPr>
              <w:t>, każdy w zakresie swojej właściwości (ust. 3);</w:t>
            </w:r>
          </w:p>
          <w:p w14:paraId="0EEA774F" w14:textId="3B00D01A" w:rsidR="00AA2794" w:rsidRPr="00224554" w:rsidRDefault="00AA2794" w:rsidP="00224554">
            <w:pPr>
              <w:pStyle w:val="divparagraph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auto"/>
              </w:rPr>
            </w:pPr>
            <w:r w:rsidRPr="00224554">
              <w:rPr>
                <w:rFonts w:ascii="Lato" w:hAnsi="Lato"/>
                <w:color w:val="auto"/>
              </w:rPr>
              <w:t xml:space="preserve">art. 59 ust. 3 pkt 5, prowadzi wojewoda i </w:t>
            </w:r>
            <w:r w:rsidRPr="00224554">
              <w:rPr>
                <w:rFonts w:ascii="Lato" w:hAnsi="Lato"/>
                <w:b/>
                <w:color w:val="auto"/>
                <w:u w:val="single"/>
              </w:rPr>
              <w:t>konsul</w:t>
            </w:r>
            <w:r w:rsidRPr="00224554">
              <w:rPr>
                <w:rFonts w:ascii="Lato" w:hAnsi="Lato"/>
                <w:color w:val="auto"/>
              </w:rPr>
              <w:t xml:space="preserve"> (ust. 4).</w:t>
            </w:r>
          </w:p>
          <w:p w14:paraId="53EFDB94" w14:textId="77777777" w:rsidR="00AA2794" w:rsidRPr="00224554" w:rsidRDefault="00AA2794" w:rsidP="00224554">
            <w:pPr>
              <w:jc w:val="both"/>
              <w:rPr>
                <w:rFonts w:ascii="Lato" w:hAnsi="Lato"/>
                <w:sz w:val="18"/>
                <w:szCs w:val="18"/>
              </w:rPr>
            </w:pPr>
            <w:r w:rsidRPr="00224554">
              <w:rPr>
                <w:rFonts w:ascii="Lato" w:hAnsi="Lato"/>
                <w:sz w:val="18"/>
                <w:szCs w:val="18"/>
              </w:rPr>
              <w:t xml:space="preserve">Wymaga również podkreślenia, iż stosownie do przepisu art. 60 ust. 5 ustawy, wojewoda i </w:t>
            </w:r>
            <w:r w:rsidRPr="00224554">
              <w:rPr>
                <w:rFonts w:ascii="Lato" w:hAnsi="Lato"/>
                <w:b/>
                <w:sz w:val="18"/>
                <w:szCs w:val="18"/>
                <w:u w:val="single"/>
              </w:rPr>
              <w:t>konsul</w:t>
            </w:r>
            <w:r w:rsidRPr="00224554">
              <w:rPr>
                <w:rFonts w:ascii="Lato" w:hAnsi="Lato"/>
                <w:sz w:val="18"/>
                <w:szCs w:val="18"/>
              </w:rPr>
              <w:t xml:space="preserve"> przekazują do rejestru centralnego dane zawarte w prowadzonych przez siebie rejestrach niezwłocznie po ich umieszczeniu we właściwym rejestrze.</w:t>
            </w:r>
          </w:p>
        </w:tc>
        <w:tc>
          <w:tcPr>
            <w:tcW w:w="4961" w:type="dxa"/>
            <w:shd w:val="clear" w:color="auto" w:fill="auto"/>
          </w:tcPr>
          <w:p w14:paraId="33C79A5A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>Dodanie kolejnych e-usług:</w:t>
            </w:r>
          </w:p>
          <w:p w14:paraId="0B794385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- przyjęcie wniosku o nadanie przez Prezydenta RP obywatelstwa polskiego; zakres działania: </w:t>
            </w:r>
            <w:r w:rsidRPr="00224554">
              <w:rPr>
                <w:rFonts w:ascii="Lato" w:hAnsi="Lato" w:cs="Roboto-Regular"/>
                <w:sz w:val="18"/>
                <w:szCs w:val="18"/>
              </w:rPr>
              <w:t xml:space="preserve">Cudzoziemcy </w:t>
            </w:r>
            <w:r w:rsidRPr="00224554">
              <w:rPr>
                <w:rFonts w:ascii="Lato" w:hAnsi="Lato" w:cs="Roboto-Regular"/>
                <w:sz w:val="18"/>
                <w:szCs w:val="18"/>
              </w:rPr>
              <w:lastRenderedPageBreak/>
              <w:t>korzystający z usług konsularnych (rocznie ok 350 transakcji),</w:t>
            </w:r>
          </w:p>
          <w:p w14:paraId="461FEA1B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 xml:space="preserve">- przyjęcie wniosku skierowanego do MSWiA o przywrócenie obywatelstwa polskiego;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zakres działania : </w:t>
            </w:r>
            <w:r w:rsidRPr="00224554">
              <w:rPr>
                <w:rFonts w:ascii="Lato" w:hAnsi="Lato" w:cs="Roboto-Regular"/>
                <w:sz w:val="18"/>
                <w:szCs w:val="18"/>
              </w:rPr>
              <w:t>Cudzoziemcy korzystający z usług konsularnych (rocznie ok 150 transakcji),</w:t>
            </w:r>
          </w:p>
          <w:p w14:paraId="5164EEC4" w14:textId="77777777" w:rsidR="00AA2794" w:rsidRPr="00224554" w:rsidRDefault="00AA2794" w:rsidP="00224554">
            <w:pPr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 xml:space="preserve">- przyjęcie wniosku o wyrażenie zgody przez Prezydenta RP na zrzeczenie się obywatelstwa polskiego;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zakres działania : obywatele polscy</w:t>
            </w:r>
            <w:r w:rsidRPr="00224554">
              <w:rPr>
                <w:rFonts w:ascii="Lato" w:hAnsi="Lato" w:cs="Roboto-Regular"/>
                <w:sz w:val="18"/>
                <w:szCs w:val="18"/>
              </w:rPr>
              <w:t xml:space="preserve"> korzystający z usług konsularnych (rocznie ok 400 transakcji).</w:t>
            </w:r>
          </w:p>
        </w:tc>
        <w:tc>
          <w:tcPr>
            <w:tcW w:w="3457" w:type="dxa"/>
          </w:tcPr>
          <w:p w14:paraId="2828B0B1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lastRenderedPageBreak/>
              <w:t xml:space="preserve">Na etapie przygotowania OZPI przeprowadzono analizę prawną spraw możliwych do </w:t>
            </w:r>
            <w:proofErr w:type="spellStart"/>
            <w:r w:rsidRPr="00224554">
              <w:rPr>
                <w:rFonts w:ascii="Lato" w:hAnsi="Lato" w:cs="Roboto-Regular"/>
                <w:sz w:val="18"/>
                <w:szCs w:val="18"/>
              </w:rPr>
              <w:t>zcyfryzowania</w:t>
            </w:r>
            <w:proofErr w:type="spellEnd"/>
            <w:r w:rsidRPr="00224554">
              <w:rPr>
                <w:rFonts w:ascii="Lato" w:hAnsi="Lato" w:cs="Roboto-Regular"/>
                <w:sz w:val="18"/>
                <w:szCs w:val="18"/>
              </w:rPr>
              <w:t xml:space="preserve"> i uruchomienia jako e-usługi projektu, </w:t>
            </w:r>
            <w:r w:rsidRPr="00224554">
              <w:rPr>
                <w:rFonts w:ascii="Lato" w:hAnsi="Lato" w:cs="Roboto-Regular"/>
                <w:sz w:val="18"/>
                <w:szCs w:val="18"/>
              </w:rPr>
              <w:lastRenderedPageBreak/>
              <w:t>uwzględniając wymagania dla projektów dofinansowanych z FERC (4 poziom dojrzałości).</w:t>
            </w:r>
          </w:p>
          <w:p w14:paraId="3C0F47D3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>Zgodnie z zapisami art. 21 ust. 1 oraz art. 49 ust. 1 Ustawy o Obywatelstwie Polskim, wniosek o nadanie obywatelstwa polskiego oraz wniosek o wyrażenie zgody na zrzeczenie się obywatelstwa polskiego składa się osobiście lub korespondencyjnie z urzędowo poświadczonym podpisem, a formalności należy dokonać za pośrednictwem wojewody (jeśli jesteś w Polsce) lub konsula (jeśli za granicą).</w:t>
            </w:r>
          </w:p>
          <w:p w14:paraId="3143351B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 xml:space="preserve">Reasumując </w:t>
            </w:r>
            <w:r w:rsidRPr="00224554">
              <w:rPr>
                <w:rFonts w:ascii="Lato" w:hAnsi="Lato" w:cs="Roboto-Regular"/>
                <w:b/>
                <w:bCs/>
                <w:sz w:val="18"/>
                <w:szCs w:val="18"/>
              </w:rPr>
              <w:t>w obecnym stanie prawnym proces nadania i zrzeczenia się obywatelstwa jest nadal procesem wymagającym wizyty i fizycznego złożenia dokumentów</w:t>
            </w:r>
            <w:r w:rsidRPr="00224554">
              <w:rPr>
                <w:rFonts w:ascii="Lato" w:hAnsi="Lato" w:cs="Roboto-Regular"/>
                <w:sz w:val="18"/>
                <w:szCs w:val="18"/>
              </w:rPr>
              <w:t>, ale z możliwością elektronicznej rezerwacji terminu. W przypadku wniosku o przywrócenie obywatelstwa polskiego, zgodnie z art. 42, istnieje możliwość składania wniosku w formie elektronicznej. Poniżej podsumowanie tabelaryczne i wyjaśnienie: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br/>
            </w:r>
            <w:r w:rsidRPr="00224554">
              <w:rPr>
                <w:rFonts w:ascii="Lato" w:hAnsi="Lato"/>
                <w:noProof/>
                <w:sz w:val="18"/>
                <w:szCs w:val="18"/>
              </w:rPr>
              <w:drawing>
                <wp:inline distT="0" distB="0" distL="0" distR="0" wp14:anchorId="13F958BD" wp14:editId="5FCDF9B7">
                  <wp:extent cx="1805534" cy="849086"/>
                  <wp:effectExtent l="0" t="0" r="4445" b="8255"/>
                  <wp:docPr id="1" name="Obraz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017" cy="8568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A592346" w14:textId="77777777" w:rsidR="00AA2794" w:rsidRPr="00224554" w:rsidRDefault="00AA2794" w:rsidP="00224554">
            <w:pPr>
              <w:jc w:val="both"/>
              <w:rPr>
                <w:rFonts w:ascii="Lato" w:hAnsi="Lato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* </w:t>
            </w:r>
            <w:r w:rsidRPr="00224554">
              <w:rPr>
                <w:rFonts w:ascii="Lato" w:hAnsi="Lato"/>
                <w:sz w:val="18"/>
                <w:szCs w:val="18"/>
              </w:rPr>
              <w:t xml:space="preserve">w postępowaniu o przywrócenie obywatelstwa </w:t>
            </w:r>
            <w:r w:rsidRPr="00224554">
              <w:rPr>
                <w:rStyle w:val="Pogrubienie"/>
                <w:rFonts w:ascii="Lato" w:hAnsi="Lato"/>
                <w:sz w:val="18"/>
                <w:szCs w:val="18"/>
              </w:rPr>
              <w:t>stosuje się przepisy KPA</w:t>
            </w:r>
            <w:r w:rsidRPr="00224554">
              <w:rPr>
                <w:rFonts w:ascii="Lato" w:hAnsi="Lato"/>
                <w:sz w:val="18"/>
                <w:szCs w:val="18"/>
              </w:rPr>
              <w:t>, w tym potencjalnie przepisy o składaniu podań drogą elektroniczną (art. 63 § 1</w:t>
            </w:r>
          </w:p>
          <w:p w14:paraId="48AB25CC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>Jednocześnie, w przypadku wprowadzenia odpowiednich zmian w ustawie o obywatelstwie polskim możliwe będzie uruchomienie e-usług w obszarze obywatelskim na wymaganym 4 poziomie dojrzałości. MSZ jest otwarty na współpracę z MSWiA w tek kwestii.</w:t>
            </w:r>
          </w:p>
        </w:tc>
      </w:tr>
      <w:tr w:rsidR="00224554" w:rsidRPr="00224554" w14:paraId="2229868F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shd w:val="clear" w:color="auto" w:fill="auto"/>
          </w:tcPr>
          <w:p w14:paraId="6E877396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5D6A3481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4E6D322C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E2A9EBF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2.2. Udostępnione e-usługi</w:t>
            </w:r>
          </w:p>
        </w:tc>
        <w:tc>
          <w:tcPr>
            <w:tcW w:w="3544" w:type="dxa"/>
            <w:shd w:val="clear" w:color="auto" w:fill="auto"/>
          </w:tcPr>
          <w:p w14:paraId="5418DA48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Zaproponowane e-usługi nie uwzględniają zadań konsula wynikających z  art. 34 ust. 3 ustawy o repatriacji.</w:t>
            </w:r>
          </w:p>
          <w:p w14:paraId="587ACE47" w14:textId="77777777" w:rsidR="00AA2794" w:rsidRPr="00224554" w:rsidRDefault="00AA2794" w:rsidP="00224554">
            <w:pPr>
              <w:shd w:val="clear" w:color="auto" w:fill="FFFFFF"/>
              <w:jc w:val="both"/>
              <w:rPr>
                <w:rFonts w:ascii="Lato" w:hAnsi="Lato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lastRenderedPageBreak/>
              <w:t>Stosownie do art. 34 ustawy z dnia 9 listopada 2000 r. o repatriacji</w:t>
            </w:r>
            <w:r w:rsidRPr="00224554">
              <w:rPr>
                <w:rStyle w:val="Odwoanieprzypisudolnego"/>
                <w:rFonts w:ascii="Lato" w:hAnsi="Lato" w:cs="Arial"/>
                <w:sz w:val="18"/>
                <w:szCs w:val="18"/>
              </w:rPr>
              <w:footnoteReference w:id="1"/>
            </w:r>
            <w:r w:rsidRPr="00224554">
              <w:rPr>
                <w:rFonts w:ascii="Lato" w:hAnsi="Lato" w:cs="Arial"/>
                <w:sz w:val="18"/>
                <w:szCs w:val="18"/>
              </w:rPr>
              <w:t xml:space="preserve">, minister właściwy do spraw wewnętrznych, </w:t>
            </w:r>
            <w:r w:rsidRPr="00224554">
              <w:rPr>
                <w:rFonts w:ascii="Lato" w:hAnsi="Lato"/>
                <w:sz w:val="18"/>
                <w:szCs w:val="18"/>
              </w:rPr>
              <w:t>w</w:t>
            </w:r>
            <w:r w:rsidRPr="00224554">
              <w:rPr>
                <w:rFonts w:ascii="Lato" w:hAnsi="Lato" w:cs="Arial"/>
                <w:sz w:val="18"/>
                <w:szCs w:val="18"/>
              </w:rPr>
              <w:t xml:space="preserve"> celu zapewnienia prawidłowej realizacji procesu repatriacji, tworzy i prowadzi w systemie teleinformatycznym centralny rejestr danych o repatriacji</w:t>
            </w:r>
            <w:r w:rsidRPr="00224554">
              <w:rPr>
                <w:rFonts w:ascii="Lato" w:hAnsi="Lato"/>
                <w:sz w:val="18"/>
                <w:szCs w:val="18"/>
              </w:rPr>
              <w:t xml:space="preserve">. Zgodnie z przepisem art. 33 ustawy o repatriacji: </w:t>
            </w:r>
          </w:p>
          <w:p w14:paraId="7A4856A0" w14:textId="5E8CB1B4" w:rsidR="00AA2794" w:rsidRPr="00224554" w:rsidRDefault="00AA2794" w:rsidP="00224554">
            <w:pPr>
              <w:pStyle w:val="Akapitzlist"/>
              <w:numPr>
                <w:ilvl w:val="0"/>
                <w:numId w:val="14"/>
              </w:numPr>
              <w:shd w:val="clear" w:color="auto" w:fill="FFFFFF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/>
                <w:sz w:val="18"/>
                <w:szCs w:val="18"/>
              </w:rPr>
              <w:t>m</w:t>
            </w:r>
            <w:r w:rsidRPr="00224554">
              <w:rPr>
                <w:rFonts w:ascii="Lato" w:hAnsi="Lato" w:cs="Arial"/>
                <w:sz w:val="18"/>
                <w:szCs w:val="18"/>
              </w:rPr>
              <w:t xml:space="preserve">inister właściwy do spraw wewnętrznych i </w:t>
            </w:r>
            <w:r w:rsidRPr="00224554">
              <w:rPr>
                <w:rFonts w:ascii="Lato" w:hAnsi="Lato" w:cs="Arial"/>
                <w:b/>
                <w:sz w:val="18"/>
                <w:szCs w:val="18"/>
                <w:u w:val="single"/>
              </w:rPr>
              <w:t>konsul</w:t>
            </w:r>
            <w:r w:rsidRPr="00224554">
              <w:rPr>
                <w:rFonts w:ascii="Lato" w:hAnsi="Lato" w:cs="Arial"/>
                <w:sz w:val="18"/>
                <w:szCs w:val="18"/>
              </w:rPr>
              <w:t>, każdy w zakresie swojej właściwości, prowadzą rejestr dotyczący wiz krajowych w celu repatriacji (ust. 1);</w:t>
            </w:r>
            <w:bookmarkStart w:id="2" w:name="mip63714994"/>
            <w:bookmarkEnd w:id="2"/>
          </w:p>
          <w:p w14:paraId="44303A5A" w14:textId="0C03491C" w:rsidR="00AA2794" w:rsidRPr="00224554" w:rsidRDefault="00AA2794" w:rsidP="00224554">
            <w:pPr>
              <w:pStyle w:val="Akapitzlist"/>
              <w:numPr>
                <w:ilvl w:val="0"/>
                <w:numId w:val="14"/>
              </w:numPr>
              <w:shd w:val="clear" w:color="auto" w:fill="FFFFFF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minister właściwy do spraw wewnętrznych i wojewoda, każdy w zakresie swojej właściwości, prowadzą rejestr dotyczący uznania za repatrianta (ust. 2);</w:t>
            </w:r>
          </w:p>
          <w:p w14:paraId="093B5CD9" w14:textId="44AEF4C1" w:rsidR="00AA2794" w:rsidRPr="00224554" w:rsidRDefault="00AA2794" w:rsidP="00224554">
            <w:pPr>
              <w:pStyle w:val="Akapitzlist"/>
              <w:numPr>
                <w:ilvl w:val="0"/>
                <w:numId w:val="14"/>
              </w:numPr>
              <w:shd w:val="clear" w:color="auto" w:fill="FFFFFF"/>
              <w:rPr>
                <w:rFonts w:ascii="Lato" w:hAnsi="Lato" w:cs="Arial"/>
                <w:sz w:val="18"/>
                <w:szCs w:val="18"/>
              </w:rPr>
            </w:pPr>
            <w:bookmarkStart w:id="3" w:name="mip63714995"/>
            <w:bookmarkEnd w:id="3"/>
            <w:r w:rsidRPr="00224554">
              <w:rPr>
                <w:rFonts w:ascii="Lato" w:hAnsi="Lato" w:cs="Arial"/>
                <w:sz w:val="18"/>
                <w:szCs w:val="18"/>
              </w:rPr>
              <w:t xml:space="preserve">minister właściwy do spraw wewnętrznych, Pełnomocnik, wojewoda i </w:t>
            </w:r>
            <w:r w:rsidRPr="00224554">
              <w:rPr>
                <w:rFonts w:ascii="Lato" w:hAnsi="Lato" w:cs="Arial"/>
                <w:b/>
                <w:sz w:val="18"/>
                <w:szCs w:val="18"/>
                <w:u w:val="single"/>
              </w:rPr>
              <w:t>konsul</w:t>
            </w:r>
            <w:r w:rsidRPr="00224554">
              <w:rPr>
                <w:rFonts w:ascii="Lato" w:hAnsi="Lato" w:cs="Arial"/>
                <w:sz w:val="18"/>
                <w:szCs w:val="18"/>
              </w:rPr>
              <w:t>, każdy w zakresie swojej właściwości, prowadzą rejestr dotyczący udzielania pomocy repatriantom ze środków budżetu państwa (ust. 3).</w:t>
            </w:r>
          </w:p>
          <w:p w14:paraId="4565B59E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/>
                <w:sz w:val="18"/>
                <w:szCs w:val="18"/>
              </w:rPr>
              <w:t xml:space="preserve">Wymaga również podkreślenia, iż stosownie do przepisu art. 34 ust. 3 ustawy, </w:t>
            </w:r>
            <w:r w:rsidRPr="00224554">
              <w:rPr>
                <w:rFonts w:ascii="Lato" w:hAnsi="Lato" w:cs="Arial"/>
                <w:sz w:val="18"/>
                <w:szCs w:val="18"/>
                <w:shd w:val="clear" w:color="auto" w:fill="FFFFFF"/>
              </w:rPr>
              <w:t xml:space="preserve">pełnomocnik, wojewoda </w:t>
            </w:r>
            <w:r w:rsidRPr="00224554">
              <w:rPr>
                <w:rFonts w:ascii="Lato" w:hAnsi="Lato" w:cs="Arial"/>
                <w:b/>
                <w:sz w:val="18"/>
                <w:szCs w:val="18"/>
                <w:u w:val="single"/>
                <w:shd w:val="clear" w:color="auto" w:fill="FFFFFF"/>
              </w:rPr>
              <w:t>i konsul</w:t>
            </w:r>
            <w:r w:rsidRPr="00224554">
              <w:rPr>
                <w:rFonts w:ascii="Lato" w:hAnsi="Lato" w:cs="Arial"/>
                <w:sz w:val="18"/>
                <w:szCs w:val="18"/>
                <w:shd w:val="clear" w:color="auto" w:fill="FFFFFF"/>
              </w:rPr>
              <w:t xml:space="preserve"> przekazują do centralnego rejestru dane zawarte w prowadzonych przez siebie rejestrach niezwłocznie po ich umieszczeniu we właściwym rejestrze</w:t>
            </w:r>
            <w:r w:rsidRPr="00224554"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69F53E7F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>Dodanie kolejnych e-usług:</w:t>
            </w:r>
          </w:p>
          <w:p w14:paraId="006B6EA6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- przyjęcie wniosku o wydanie wizy krajowej w celu repatriacji; zakres działania: </w:t>
            </w:r>
            <w:r w:rsidRPr="00224554">
              <w:rPr>
                <w:rFonts w:ascii="Lato" w:hAnsi="Lato" w:cs="Roboto-Regular"/>
                <w:sz w:val="18"/>
                <w:szCs w:val="18"/>
              </w:rPr>
              <w:t>Cudzoziemcy</w:t>
            </w:r>
          </w:p>
          <w:p w14:paraId="348087FC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>korzystający z usług konsularnych (rocznie ok 530 transakcji),</w:t>
            </w:r>
          </w:p>
          <w:p w14:paraId="41ED926F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lastRenderedPageBreak/>
              <w:t>- wydanie decyzji w sprawie stwierdzenia polskiego pochodzenia osoby ubiegającej się o wydanie wizy krajowej w celu repatriacji lub o uznanie za repatrianta (rocznie ok. 330 transakcji),</w:t>
            </w:r>
          </w:p>
          <w:p w14:paraId="52178108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>- wydanie przez konsula decyzji o zakwalifikowaniu do wydania wizy krajowej w celu repatriacji (rocznie ok. 330 transakcji),</w:t>
            </w:r>
          </w:p>
          <w:p w14:paraId="6ABDE3D3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>- wydanie wizy krajowej w celu repatriacji (rocznie ok. 730 transakcji),</w:t>
            </w:r>
          </w:p>
          <w:p w14:paraId="11DA0047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>- udzielenie pomocy repatriantom ze środków budżetu państwa (rocznie do 20 transakcji).</w:t>
            </w:r>
          </w:p>
          <w:p w14:paraId="73496979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3457" w:type="dxa"/>
          </w:tcPr>
          <w:p w14:paraId="6260444F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 xml:space="preserve">Wprowadzenie możliwości elektronicznego składania wniosku o wydanie wizy krajowej w celu repatriacji  wymagałoby wprowadzenia takich zmian legislacyjnych w ustawie, które dawałyby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 xml:space="preserve">konsulowi możliwość rozmowy z wnioskodawcą za pomocą środków komunikowania się na odległość w celu umożliwienia konsulowi wydania decyzji w sprawie uznania za osobę polskiego pochodzenia oraz oceny stopnia znajomości języka polskiego. Co prawda, w przypadku procedury uznania za repatrianta (przeprowadza ją wojewoda) konsul może być proszony o wydanie decyzji o uznaniu za osobę polskiego pochodzenia (art. 16a ust. 5 ustawy o repatriacji), co odbywa się na podstawie przesłanych dokumentów. W przypadku e-usługi związanej z wydaniem decyzji o zakwalifikowaniu do wydania wizy krajowej w celu repatriacji, to jest to procedura wpadkowa w postępowaniu wszczynanym wnioskiem o wydanie wizy krajowej w celu repatriacji, trudno więc ocenić zasadność wprowadzenia takiej usługi, skoro dla jej zainicjowania nie jest konieczny odrębny wniosek wnioskodawcy, poza wnioskiem o wydanie wizy krajowej w celu repatriacji. Wydanie tej decyzji następuje na podstawie postanowienia Ministra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SWiA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 xml:space="preserve">, które przekazywane jest konsulowi przez MSWiA. E-usługa związana z udzielaniem pomocy finansowej – wymaga wyjaśnienia po stronie zgłaszającego uwagę, czy chodzi o możliwość wnioskowania przez Ministra SZ do Ministra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SWiA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a potem Ministra Finansów za pośrednictwem tej usługi o środki finansowe z rezerwy, czy też chodzi o składanie wniosków przez wnioskodawców do konsulów w tej sprawie. Z uwagi na incydentalność tych wniosków (w 2023 – 1, w 2024 – 1, 2025 – 1) nie wydaje się projektowanie takiej usługi w żadnym z tych dwóch zakresów.</w:t>
            </w:r>
          </w:p>
        </w:tc>
      </w:tr>
      <w:tr w:rsidR="00224554" w:rsidRPr="00224554" w14:paraId="7D38BE67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shd w:val="clear" w:color="auto" w:fill="auto"/>
          </w:tcPr>
          <w:p w14:paraId="2E1BD918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D642995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069C3E5B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310DB09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2.2. Udostępnione e-usługi</w:t>
            </w:r>
          </w:p>
        </w:tc>
        <w:tc>
          <w:tcPr>
            <w:tcW w:w="3544" w:type="dxa"/>
            <w:shd w:val="clear" w:color="auto" w:fill="auto"/>
          </w:tcPr>
          <w:p w14:paraId="28AFC808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W związku z prowadzonymi postępowaniami o wydanie paszportów, konsulowie występują do MSWiA o udostępnienie danych z centralnego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 xml:space="preserve">rejestru danych o nabyciu i utracie obywatelstwa polskiego prowadzonego w ramach systemu Pobyt. Dotychczas konsulowie występują w formie tradycyjnej – na formularzu wniosku, stosownie do przepisu art. 62 ust. 6 ustawy o obywatelstwie polskim. Mając na uwadze, iż uprawnienie do dostępu do danych w centralnym rejestrze wynika nie tylko z przepisu art. 62 ust. 2 pkt 1 ustawy ale również wprost z treści art. 60 ustawy, zasadnym jest usprawnienie tej procedury poprzez umożliwienie konsulowi bezpośredniego dostępu do systemu Pobyt. W konsekwencji konsul nie będzie zobowiązany do przygotowania zapytania na określonym przepisami formularzu wniosku i przesyłania go do MSWiA a następnie oczekiwania na odpowiedź. Informacje takie konsul uzyska bezpośrednio z systemu Pobyt. </w:t>
            </w:r>
          </w:p>
        </w:tc>
        <w:tc>
          <w:tcPr>
            <w:tcW w:w="4961" w:type="dxa"/>
            <w:shd w:val="clear" w:color="auto" w:fill="auto"/>
          </w:tcPr>
          <w:p w14:paraId="7A9993A0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>Dodanie kolejnej e-usługi:</w:t>
            </w:r>
          </w:p>
          <w:p w14:paraId="70C14E38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- uzyskanie danych o utracie obywatelstwa polskiego bezpośrednio z centralnego rejestru danych o nabyciu i utracie obywatelstwa polskiego prowadzonego w ramach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 xml:space="preserve">systemu Pobyt; zakres działania : </w:t>
            </w:r>
            <w:r w:rsidRPr="00224554">
              <w:rPr>
                <w:rFonts w:ascii="Lato" w:hAnsi="Lato" w:cs="Roboto-Regular"/>
                <w:sz w:val="18"/>
                <w:szCs w:val="18"/>
              </w:rPr>
              <w:t>obywatele polscy korzystający z usług konsularnych (rocznie ok 5000 transakcji).</w:t>
            </w:r>
          </w:p>
          <w:p w14:paraId="42E2A62A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3457" w:type="dxa"/>
          </w:tcPr>
          <w:p w14:paraId="0C0D81C9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 xml:space="preserve">Zdecydowanie popieramy ideę umożliwienia konsulom bezpośredniego dostępu do centralnego Rejestru danych o nabyciu i utracie obywatelstwa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>polskiego, prowadzonego przez MSWiA (CRDUNOP), za pośrednictwem systemu Pobyt. Podobne rozwiązanie funkcjonuje z powodzeniem w systemie RDP, gdzie możliwe jest przeprowadzanie sprawdzeń w Rejestrze Aktów Stanu Cywilnego oraz w Rejestrze Dowodów Osobistych za pomocą systemu Źródło. Obecnie stosowany sposób pozyskiwania informacji z MSWiA – na podstawie skanu wniosku wysyłanego szyfrowanym mailem jest archaiczny, pracochłonny i w naszej opinii wymaga usprawnienia. Jednocześnie dalszej analizy wymaga kwestia odpowiedniej podstawy prawnej. Skontaktujemy się w tej sprawie bezpośrednio z MSWiA. Kwestia braku bezpośredniego dostępu do CRDUNOP został wskazanym w zmodyfikowanym zgodnie ze stanowiskiem do uwagi nr 1.</w:t>
            </w:r>
          </w:p>
        </w:tc>
      </w:tr>
      <w:tr w:rsidR="00224554" w:rsidRPr="00224554" w14:paraId="1527E8F3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shd w:val="clear" w:color="auto" w:fill="auto"/>
          </w:tcPr>
          <w:p w14:paraId="04ED7314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24646AE8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3B66194D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6E582B3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2.2. Udostępnione e-usługi. Pkt 7 tabeli: Potwierdzenie obywatelstwa</w:t>
            </w:r>
          </w:p>
        </w:tc>
        <w:tc>
          <w:tcPr>
            <w:tcW w:w="3544" w:type="dxa"/>
            <w:shd w:val="clear" w:color="auto" w:fill="auto"/>
          </w:tcPr>
          <w:p w14:paraId="3DD4042A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Z opisu e-usługi wynika, iż </w:t>
            </w:r>
            <w:r w:rsidRPr="00224554">
              <w:rPr>
                <w:rFonts w:ascii="Lato" w:hAnsi="Lato" w:cs="Roboto-Regular"/>
                <w:sz w:val="18"/>
                <w:szCs w:val="18"/>
              </w:rPr>
              <w:t>Usługa pozwala na złożenie wniosku i uzyskanie od Konsula potwierdzenia posiadania lub utraty obywatelstwa polskiego.</w:t>
            </w:r>
          </w:p>
          <w:p w14:paraId="09B091C2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 xml:space="preserve">Należy podkreślić, iż stosownie do przepisu art. 55 ustawy o obywatelstwie polskim, organem wyłącznie właściwym do potwierdzenia posiadania obywatelstwa polskiego jest wojewoda. Konsul jest jedynie organem, za pośrednictwem którego zainteresowana osoba może wystąpić z wnioskiem do właściwego wojewody o potwierdzenie posiadania obywatelstwa polskiego oraz uzyskać za jego pośrednictwem decyzję w ww. sprawie wydaną przez wojewodę. Aktualnie czynności związane z postępowaniem o potwierdzenie posiadania obywatelstwa polskiego nie są rejestrowane w ramach systemu Pobyt. Każdy wojewoda prowadzi oddzielny (własny) rejestr prowadzonych postępowanie o potwierdzenie posiadania obywatelstwa polskiego. </w:t>
            </w:r>
          </w:p>
        </w:tc>
        <w:tc>
          <w:tcPr>
            <w:tcW w:w="4961" w:type="dxa"/>
            <w:shd w:val="clear" w:color="auto" w:fill="auto"/>
          </w:tcPr>
          <w:p w14:paraId="55D4726D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 xml:space="preserve">Niezbędne jest doprecyzowanie na czym dokładanie miałaby polegać usługa zaproponowana w dokumencie. </w:t>
            </w:r>
          </w:p>
        </w:tc>
        <w:tc>
          <w:tcPr>
            <w:tcW w:w="3457" w:type="dxa"/>
          </w:tcPr>
          <w:p w14:paraId="5236AD38" w14:textId="77777777" w:rsidR="00AA2794" w:rsidRPr="00224554" w:rsidRDefault="00AA2794" w:rsidP="00224554">
            <w:pPr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>Zapis w OZPI zostanie doprecyzowany, propozycja poniżej:</w:t>
            </w:r>
          </w:p>
          <w:p w14:paraId="16A00D38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>„Usługa pozwala na złożenie wniosku i uzyskanie za pośrednictwem Konsula potwierdzenia posiadania lub utraty obywatelstwa polskiego.”</w:t>
            </w:r>
          </w:p>
        </w:tc>
      </w:tr>
      <w:tr w:rsidR="00224554" w:rsidRPr="00224554" w14:paraId="493E880A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shd w:val="clear" w:color="auto" w:fill="auto"/>
          </w:tcPr>
          <w:p w14:paraId="37207052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7281BC8C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62B40FD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3544" w:type="dxa"/>
            <w:shd w:val="clear" w:color="auto" w:fill="auto"/>
          </w:tcPr>
          <w:p w14:paraId="74692D1B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Pkt 5, zawierający odniesienie do ustawy z dnia 2 kwietnia 2009 r. o obywatelstwie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>polskim, nie wskazuje na zmiany tekstu jednolitego ustawy).</w:t>
            </w:r>
          </w:p>
        </w:tc>
        <w:tc>
          <w:tcPr>
            <w:tcW w:w="4961" w:type="dxa"/>
            <w:shd w:val="clear" w:color="auto" w:fill="auto"/>
          </w:tcPr>
          <w:p w14:paraId="01F4671D" w14:textId="77777777" w:rsidR="00AA2794" w:rsidRPr="00224554" w:rsidRDefault="00AA2794" w:rsidP="00224554">
            <w:pPr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lastRenderedPageBreak/>
              <w:t xml:space="preserve">W przywołanym publikatorze należy uwzględnić zmiany wprowadzone do tekstu jednolitego ustawy  - Dz. U. z 2023 r. poz. 1989, z </w:t>
            </w:r>
            <w:proofErr w:type="spellStart"/>
            <w:r w:rsidRPr="00224554">
              <w:rPr>
                <w:rFonts w:ascii="Lato" w:hAnsi="Lato" w:cs="Roboto-Regular"/>
                <w:sz w:val="18"/>
                <w:szCs w:val="18"/>
              </w:rPr>
              <w:t>póżn</w:t>
            </w:r>
            <w:proofErr w:type="spellEnd"/>
            <w:r w:rsidRPr="00224554">
              <w:rPr>
                <w:rFonts w:ascii="Lato" w:hAnsi="Lato" w:cs="Roboto-Regular"/>
                <w:sz w:val="18"/>
                <w:szCs w:val="18"/>
              </w:rPr>
              <w:t>. zm.</w:t>
            </w:r>
          </w:p>
        </w:tc>
        <w:tc>
          <w:tcPr>
            <w:tcW w:w="3457" w:type="dxa"/>
          </w:tcPr>
          <w:p w14:paraId="18247238" w14:textId="77777777" w:rsidR="00AA2794" w:rsidRPr="00224554" w:rsidRDefault="00AA2794" w:rsidP="00224554">
            <w:pPr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>Zapis w OZPI poprawiono zgodnie z propozycją.</w:t>
            </w:r>
          </w:p>
        </w:tc>
      </w:tr>
      <w:tr w:rsidR="00224554" w:rsidRPr="00224554" w14:paraId="6B59BAEC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shd w:val="clear" w:color="auto" w:fill="auto"/>
          </w:tcPr>
          <w:p w14:paraId="7EF5D33A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37B551FB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4216D20A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084AAE5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3544" w:type="dxa"/>
            <w:shd w:val="clear" w:color="auto" w:fill="auto"/>
          </w:tcPr>
          <w:p w14:paraId="7C9CBDD2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Tabela z aktami prawnymi nie zawiera odniesienia do ustawy z </w:t>
            </w:r>
            <w:r w:rsidRPr="00224554">
              <w:rPr>
                <w:rFonts w:ascii="Lato" w:hAnsi="Lato" w:cs="Arial"/>
                <w:sz w:val="18"/>
                <w:szCs w:val="18"/>
              </w:rPr>
              <w:t>o repatriacji</w:t>
            </w:r>
          </w:p>
        </w:tc>
        <w:tc>
          <w:tcPr>
            <w:tcW w:w="4961" w:type="dxa"/>
            <w:shd w:val="clear" w:color="auto" w:fill="auto"/>
          </w:tcPr>
          <w:p w14:paraId="242B2F0E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Dodanie informacji dot. aktu prawnego :</w:t>
            </w:r>
          </w:p>
          <w:p w14:paraId="27B90494" w14:textId="77777777" w:rsidR="00AA2794" w:rsidRPr="00224554" w:rsidRDefault="00AA2794" w:rsidP="00224554">
            <w:pPr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 xml:space="preserve">- ustawa z dnia 9 listopada 2000 r. o repatriacji (t. j. Dz.U. z 2022 r. poz. 1105, z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>. zm.). Ustawa nie wymaga zmian.</w:t>
            </w:r>
          </w:p>
        </w:tc>
        <w:tc>
          <w:tcPr>
            <w:tcW w:w="3457" w:type="dxa"/>
          </w:tcPr>
          <w:p w14:paraId="7FF16918" w14:textId="77777777" w:rsidR="00AA2794" w:rsidRPr="00224554" w:rsidRDefault="00AA2794" w:rsidP="00224554">
            <w:pPr>
              <w:jc w:val="both"/>
              <w:rPr>
                <w:rFonts w:ascii="Lato" w:hAnsi="Lato" w:cs="Roboto-Regular"/>
                <w:sz w:val="18"/>
                <w:szCs w:val="18"/>
              </w:rPr>
            </w:pPr>
            <w:r w:rsidRPr="00224554">
              <w:rPr>
                <w:rFonts w:ascii="Lato" w:hAnsi="Lato" w:cs="Roboto-Regular"/>
                <w:sz w:val="18"/>
                <w:szCs w:val="18"/>
              </w:rPr>
              <w:t>Dodano w OZPI wskazany akt prawny zgodnie z propozycją.</w:t>
            </w:r>
          </w:p>
        </w:tc>
      </w:tr>
      <w:tr w:rsidR="00224554" w:rsidRPr="00224554" w14:paraId="6E306BBC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shd w:val="clear" w:color="auto" w:fill="auto"/>
          </w:tcPr>
          <w:p w14:paraId="6C64DDA7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74983B7D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0F2F12F0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BF643A7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7.2. Widok kooperacji aplikacji. </w:t>
            </w:r>
          </w:p>
          <w:p w14:paraId="518E1590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Lista systemów  wykorzystywanych w projekcie.</w:t>
            </w:r>
          </w:p>
        </w:tc>
        <w:tc>
          <w:tcPr>
            <w:tcW w:w="3544" w:type="dxa"/>
            <w:shd w:val="clear" w:color="auto" w:fill="auto"/>
          </w:tcPr>
          <w:p w14:paraId="52DE227B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Punkt 13 tabeli zawiera opis sytemu Pobyt (gestor systemu: Urząd do Spraw Cudzoziemców). Opis nie zawiera informacji, iż elementami przedmiotowego systemu jest centralny rejestr danych o nabyciu i utracie obywatelstwa polskiego oraz rejestry w sprawach repatriacji.</w:t>
            </w:r>
          </w:p>
        </w:tc>
        <w:tc>
          <w:tcPr>
            <w:tcW w:w="4961" w:type="dxa"/>
            <w:shd w:val="clear" w:color="auto" w:fill="auto"/>
          </w:tcPr>
          <w:p w14:paraId="2EDDBB7A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Proponuje dodanie do opisu systemu:</w:t>
            </w:r>
          </w:p>
          <w:p w14:paraId="0B6DF54A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System Pobyt umożliwia pozyskanie informacji o nabyciu i utracie obywatelstwa polskiego oraz o prowadzonych postępowania o nabycie lub zrzeczenie się obywatelstwa polskiego, a także w sprawach nabycia obywatelstwa polskiego w drodze repatriacji.</w:t>
            </w:r>
          </w:p>
        </w:tc>
        <w:tc>
          <w:tcPr>
            <w:tcW w:w="3457" w:type="dxa"/>
          </w:tcPr>
          <w:p w14:paraId="1467D3AE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Opis systemu Pobyt w OZPI zostanie rozbudowany o przesłaną propozycję</w:t>
            </w:r>
          </w:p>
        </w:tc>
      </w:tr>
      <w:tr w:rsidR="00224554" w:rsidRPr="00224554" w14:paraId="43219F41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shd w:val="clear" w:color="auto" w:fill="auto"/>
          </w:tcPr>
          <w:p w14:paraId="52A20DF9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DFEDAE8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2520BAC5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3A9CBCA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7.2. Widok kooperacji aplikacji. </w:t>
            </w:r>
          </w:p>
          <w:p w14:paraId="53FBF560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Lista przepływów.</w:t>
            </w:r>
          </w:p>
        </w:tc>
        <w:tc>
          <w:tcPr>
            <w:tcW w:w="3544" w:type="dxa"/>
            <w:shd w:val="clear" w:color="auto" w:fill="auto"/>
          </w:tcPr>
          <w:p w14:paraId="04013A6C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Punkt 17 tabeli zawiera zakres wymienianych danych. Powinien on również odnosić się do wyżej zgłoszonych uwag w zakresie zadań konsula realizowanych na podstawie ustawy o obywatelstwie polskim oraz ustawy o repatriacji.</w:t>
            </w:r>
          </w:p>
        </w:tc>
        <w:tc>
          <w:tcPr>
            <w:tcW w:w="4961" w:type="dxa"/>
            <w:shd w:val="clear" w:color="auto" w:fill="auto"/>
          </w:tcPr>
          <w:p w14:paraId="3E2AECD8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Uzupełnienie zakresu wymienianych danych.</w:t>
            </w:r>
          </w:p>
        </w:tc>
        <w:tc>
          <w:tcPr>
            <w:tcW w:w="3457" w:type="dxa"/>
          </w:tcPr>
          <w:p w14:paraId="0FCCE95F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Zakres wymienianych danych w OZPI zostanie uzupełniony</w:t>
            </w:r>
          </w:p>
        </w:tc>
      </w:tr>
      <w:tr w:rsidR="00224554" w:rsidRPr="00224554" w14:paraId="0BF84707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4DDC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FB89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MSWiA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8B878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Lista przepływów (Lp. 11 - str. 54 i 55; część 7 Architektura)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9BD9E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W tabeli - Lista przepływów (Lp. 11 - str. 54 i 55; część 7 Architektura) wskazuje, iż zakres wymienianych danych  – pomiędzy systemem źródłowym, tj. Rejestrem Dokumentów Paszportowych i systemem docelowym, tj.  Elektroniczną Platformą usług konsularnych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ePUK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– to, cyt. Dane wniosku paszportowego. Weryfikacja danych.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C3110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Prośba o doprecyzowanie powyższego zapisu poprzez wskazanie, iż wymieniane dane będą dotyczyć dokumentu paszportowego.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0468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Zapis w OZPI uszczegółowiono:</w:t>
            </w:r>
          </w:p>
          <w:p w14:paraId="781D0290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„Dane wniosku oraz dokumentu paszportowego. Weryfikacja danych”</w:t>
            </w:r>
          </w:p>
        </w:tc>
      </w:tr>
      <w:tr w:rsidR="00224554" w:rsidRPr="00224554" w14:paraId="736FB0C0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97CA2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2952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MSWiA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F9CB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Lista systemów wykorzystywanych w projekcie pkt 12  tabeli - PESEL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B3C5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Opis zawiera m.in. informacje dot. osób, których dane są gromadzone w rejestrze PESEL, wskazując 1. obywateli polskich zamieszkujących na terytorium Rzeczypospolitej Polskiej; 2. obywateli polskich zamieszkujących poza granicami Rzeczypospolitej Polskiej w związku z ubieganiem się o polski dokument tożsamości; 3. cudzoziemców zamieszkujących na terytorium Rzeczypospolitej Polskiej, którzy uzyskali prawa stałego pobytu, zezwolenie na pobyt stały lub inny status określony w ustawie o ewidencji ludności lub na podstawie odrębnych przepisów zobowiązane są do posiadania numeru PESEL.                 W systemie, w szczególności gromadzone są w nim także dane obywateli Ukrainy i ich małżonków, którzy przybyli do Polski w związku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 xml:space="preserve">z działaniami wojennymi prowadzonymi na terytorium Ukrainy i którym nadano numer PESEL. </w:t>
            </w:r>
          </w:p>
          <w:p w14:paraId="6C4C49EE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Zgodnie z art. 7 ust. 1 i 2 ustawy z dnia 24 września 2010 r. o ewidencji ludności  w rejestrze PESEL gromadzone są dane:</w:t>
            </w:r>
          </w:p>
          <w:p w14:paraId="45BD2699" w14:textId="0675FAD4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1)</w:t>
            </w:r>
            <w:r w:rsidR="00224554" w:rsidRPr="00224554">
              <w:rPr>
                <w:rFonts w:ascii="Lato" w:hAnsi="Lato" w:cstheme="minorHAnsi"/>
                <w:sz w:val="18"/>
                <w:szCs w:val="18"/>
              </w:rPr>
              <w:t xml:space="preserve">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obywateli polskich zamieszkujących                        na terytorium Rzeczypospolitej Polskiej;</w:t>
            </w:r>
          </w:p>
          <w:p w14:paraId="047E8E3B" w14:textId="47B7A505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2)</w:t>
            </w:r>
            <w:r w:rsidR="00224554" w:rsidRPr="00224554">
              <w:rPr>
                <w:rFonts w:ascii="Lato" w:hAnsi="Lato" w:cstheme="minorHAnsi"/>
                <w:sz w:val="18"/>
                <w:szCs w:val="18"/>
              </w:rPr>
              <w:t xml:space="preserve">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obywateli polskich zamieszkujących poza granicami Rzeczypospolitej Polskiej w związku                       z ubieganiem się o polski dokument tożsamości;</w:t>
            </w:r>
          </w:p>
          <w:p w14:paraId="06232E53" w14:textId="74CDC9AE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3)</w:t>
            </w:r>
            <w:r w:rsidR="00224554" w:rsidRPr="00224554">
              <w:rPr>
                <w:rFonts w:ascii="Lato" w:hAnsi="Lato" w:cstheme="minorHAnsi"/>
                <w:sz w:val="18"/>
                <w:szCs w:val="18"/>
              </w:rPr>
              <w:t xml:space="preserve">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cudzoziemców zamieszkujących na terytorium Rzeczypospolitej Polskiej.</w:t>
            </w:r>
          </w:p>
          <w:p w14:paraId="0EB4E52C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Dodatkowo w rejestrze PESEL mogą być gromadzone dane osób obowiązanych na podstawie odrębnych przepisów do posiadania numeru PESEL.</w:t>
            </w:r>
          </w:p>
          <w:p w14:paraId="4CC8733E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W związku z powyższym zapis dotyczący cudzoziemców wymaga zmiany w celu uwzględnienia obowiązującego stanu prawnego.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9FC72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lastRenderedPageBreak/>
              <w:t>Proponuje się zastąpić dotychczasowy zapis (pkt 3) w następujący sposób:</w:t>
            </w:r>
          </w:p>
          <w:p w14:paraId="515682F8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„3. cudzoziemców zamieszkujących na terytorium Rzeczypospolitej Polskiej,</w:t>
            </w:r>
          </w:p>
          <w:p w14:paraId="7EEB50F6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4. osób obowiązanych na podstawie odrębnych przepisów do posiadania numeru PESEL.”.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EAA6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Zapis w OZPI poprawiono zgodnie z propozycją.</w:t>
            </w:r>
          </w:p>
        </w:tc>
      </w:tr>
      <w:tr w:rsidR="00224554" w:rsidRPr="00224554" w14:paraId="2596043D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BCC6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2B7B2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MSWiA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F13F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Lista systemów wykorzystywanych w projekcie pkt 17  tabeli – RDO Rejestr Dowodów Osobistych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CBF99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1. Z opisu wynika, że RDO jest jednym                                            z komponentów Systemu Rejestrów Państwowych, wraz z aplikacją Źródło umożliwia pełną obsługę spraw dowodowych: wnioskowanie o dowód osobisty, wydanie dowodu osobistego, aktywacja i dezaktywacja warstwy elektronicznej. W RDO prowadzony jest także częściowo Rejestr Obywateli Ukrainy, którym nadano numer PESEL (w zakresie danych, które nie są przechowywane w PESEL, np. odciski palców). Należy wskazać, że aplikacja Źródło jest wykorzystywana do obsługi Systemu Rejestrów Państwowych, w tym rejestru PESEL czy RDP. Nie jest też jasne o jaką dezaktywację warstwy elektronicznej chodzi. Przepisy ustawy o dowodach osobistych nie wypowiadają się w tej kwestii.</w:t>
            </w:r>
          </w:p>
          <w:p w14:paraId="19FF35E3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  <w:p w14:paraId="6EC30F1E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2. Rejestr Obywateli Ukrainy (ROU) prowadzi się w systemie teleinformatycznym, o którym mowa w art. 55 ustawy z dnia 6 sierpnia 2010 r. o dowodach osobistych, ale jest to jednak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 xml:space="preserve">odrębny od RDO rejestr prowadzony na podstawie przepisów ustawy z dnia 12 marca 2022 r. o pomocy obywatelom Ukrainy w związku z konfliktem zbrojnym na terytorium tego Państwa.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E0F1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lastRenderedPageBreak/>
              <w:t>1. Nie wydaje się zasadne wskazywanie aplikacji Źródło w opisie RDO. Ponadto informację o dezaktywacji warstwy elektronicznej należy usunąć.</w:t>
            </w:r>
          </w:p>
          <w:p w14:paraId="30ED5EE2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2. Nie jest zasadne w opisie RDO wskazywanie ROU jako elementu Rejestru Dowodów Osobistych.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DC12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Proponujemy skrócić opis systemu RDO w OZPI do poniższego:</w:t>
            </w:r>
          </w:p>
          <w:p w14:paraId="34D05B75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385164D5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„Rejestr Dowodów Osobistych (RDO) to centralny, państwowy rejestr teleinformatyczny, gromadzący dane o dowodach osobistych w Polsce.”</w:t>
            </w:r>
          </w:p>
        </w:tc>
      </w:tr>
      <w:tr w:rsidR="00224554" w:rsidRPr="00224554" w14:paraId="6CFAE04F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6F3B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0E074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237FC0EC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KGSG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8DE18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1. POWODY PODJĘCIA PROJEKTU</w:t>
            </w:r>
          </w:p>
          <w:p w14:paraId="100D400C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1.1.Identyfikacja problemu i potrzeb, Str.5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ED39D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W tabeli w wierszu dot. Zainteresowane jednostki organizacyjne państwa wskazano KGSG/straż pożarna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2446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KGSG/Straż Graniczna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5D07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Zapis w OZPI poprawiono zgodnie z propozycją.</w:t>
            </w:r>
          </w:p>
        </w:tc>
      </w:tr>
      <w:tr w:rsidR="00224554" w:rsidRPr="00224554" w14:paraId="5F2B270C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1FD2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B580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5F88ACDD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C916C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AEBC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Uzupełnienie aktów prawnych regulujących zmiany dot. Systemu ETIAS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31540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2018/1240 z dnia 12 września 2018 r. ustanawiające europejski system informacji o podróży oraz zezwoleń na podróż (ETIAS) i zmieniające rozporządzenia (UE) nr 1077/2011, (UE) nr 515/2014, (UE) 2016/399, (UE) 2016/1624 i (UE) 2017/2226 (Dz. Urz. UE L 236 z 19.09.2018, str. 1, z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>. zm.)</w:t>
            </w:r>
          </w:p>
          <w:p w14:paraId="4FA2FF82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E1A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Dodano w OZPI wskazane akty prawne zgodnie z propozycją.</w:t>
            </w:r>
          </w:p>
        </w:tc>
      </w:tr>
      <w:tr w:rsidR="00224554" w:rsidRPr="00224554" w14:paraId="00EE24A1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DBC4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B0F7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582DC780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B562F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3D5D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Uzupełnienie aktów prawnych regulujących zmiany dot. Systemu SIS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EF08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 xml:space="preserve">Ustawa z dnia 24 sierpnia 2007 r. o udziale Rzeczypospolitej Polskiej w Systemie Informacyjnym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 xml:space="preserve"> oraz Wizowym Systemie Informacyjnym, (Dz. U. z 2023 r. poz. 1355).</w:t>
            </w:r>
          </w:p>
          <w:p w14:paraId="1DCABC02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059B51C0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2018/1860 z dnia 28 listopada 2018 r. w sprawie użytkowania Systemu Informacyjnego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 xml:space="preserve"> do celów powrotu nielegalnie przebywających obywateli państw trzecich (Dz. Urz. UE L 312 z 07.12.2018, s. 1).</w:t>
            </w:r>
          </w:p>
          <w:p w14:paraId="329BEEFE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232C619D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2018/1861 z dnia 28 listopada 2018 r. w sprawie utworzenia, funkcjonowania i użytkowania Systemu Informacyjnego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 xml:space="preserve"> (SIS) w dziedzinie odpraw granicznych, zmiany konwencji wykonawczej do układu z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 xml:space="preserve"> oraz zmiany i uchylenia rozporządzenia (WE) nr 1987/2006 (Dz. Urz. UE L 312 z 07.12.2018, s. 14, z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 xml:space="preserve">. zm.). </w:t>
            </w:r>
          </w:p>
          <w:p w14:paraId="78A9879E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1AC4B276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2018/1862 z dnia 28 listopada 2018 r. w sprawie utworzenia, funkcjonowania i użytkowania Systemu Informacyjnego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 xml:space="preserve"> (SIS) w dziedzinie współpracy policyjnej i współpracy wymiarów sprawiedliwości w sprawach karnych, zmiany i uchylenia decyzji Rady 2007/533/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WSiSW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 xml:space="preserve"> oraz uchylenia rozporządzenia Parlamentu Europejskiego i Rady (WE) nr 1986/2006 i </w:t>
            </w:r>
            <w:r w:rsidRPr="00224554">
              <w:rPr>
                <w:rFonts w:ascii="Lato" w:hAnsi="Lato" w:cs="Arial"/>
                <w:sz w:val="18"/>
                <w:szCs w:val="18"/>
              </w:rPr>
              <w:lastRenderedPageBreak/>
              <w:t xml:space="preserve">decyzji Komisji 2010/261/UE (Dz. Urz. UE L 312 z 07.12.2018, s. 56, z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>. zm.).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084D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lastRenderedPageBreak/>
              <w:t>Dodano w OZPI wskazane akty prawne zgodnie z propozycją.</w:t>
            </w:r>
          </w:p>
        </w:tc>
      </w:tr>
      <w:tr w:rsidR="00224554" w:rsidRPr="00224554" w14:paraId="4AD12586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DFDF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C4E5F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05976815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0B1BE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7DC6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Uzupełnienie aktów prawnych regulujących zmiany dot. Systemu VIS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8CDCE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Rozporządzenie (WE) nr 767/2008 Parlamentu Europejskiego i Rady z dnia 9 lipca 2008 r. w sprawie Wizowego Systemu Informacyjnego (VIS) oraz wymiany danych pomiędzy państwami członkowskimi na temat wiz krótkoterminowych</w:t>
            </w:r>
            <w:r w:rsidRPr="00224554" w:rsidDel="00DD54C8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224554">
              <w:rPr>
                <w:rFonts w:ascii="Lato" w:hAnsi="Lato" w:cs="Arial"/>
                <w:sz w:val="18"/>
                <w:szCs w:val="18"/>
              </w:rPr>
              <w:t xml:space="preserve"> (Dz. Urz. UE L 218 z 13.08.2008, s. 60, z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>. zm.).</w:t>
            </w:r>
          </w:p>
          <w:p w14:paraId="4BFC0624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1E8476A9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2021/1133 w sprawie zmiany rozporządzeń (UE) nr 603/2013, (UE) 2016/794, (UE) 2018/1862, (UE) 2019/816 i (UE) 2019/818 w odniesieniu do ustanowienia warunków dostępu do innych systemów informacyjnych UE do celów Wizowego Systemu Informacyjnego (Dz. Urz. UE L 248 z 13.07.2021, s. 1, z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>. zm.).</w:t>
            </w:r>
          </w:p>
          <w:p w14:paraId="5AC8F43B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6A4E562B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Rozporządzenie Parlamentu Europejskiego i Rady (UE) 2021/1134 z dnia 7 lipca 2021 r. w sprawie zmiany rozporządzeń Parlamentu Europejskiego i Rady (WE) nr 767/2008, (WE) nr 810/2009, (UE) 2016/399, (UE) 2017/2226, (UE) 2018/1240, (UE) 2018/1860, (UE) 2018/1861, (UE) 2019/817 i (UE) 2019/1896 oraz uchylenia decyzji Rady 2004/512/WE i (WE) nr 2008/633/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WSiSW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 xml:space="preserve"> w celu zreformowania Wizowego Systemu Informacyjnego</w:t>
            </w:r>
            <w:r w:rsidRPr="00224554" w:rsidDel="00A836E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224554">
              <w:rPr>
                <w:rFonts w:ascii="Lato" w:hAnsi="Lato" w:cs="Arial"/>
                <w:sz w:val="18"/>
                <w:szCs w:val="18"/>
              </w:rPr>
              <w:t xml:space="preserve"> (Dz. Urz. UE L 248 z 13.07.2021, s.11, z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>. zm.).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AE8C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Dodano w OZPI wskazane akty prawne zgodnie z propozycją.</w:t>
            </w:r>
          </w:p>
        </w:tc>
      </w:tr>
      <w:tr w:rsidR="00224554" w:rsidRPr="00224554" w14:paraId="6305525C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95866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F47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6EDF71AF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3DF0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E14D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Uzupełnienie aktów prawnych regulujących zmiany dot. Systemu EES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51AE5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Ustawa z dnia 18 października 2024 r. o udziale Rzeczypospolitej Polskiej w Systemie Wjazdu/Wyjazdu (Dz. U. poz. 1688).</w:t>
            </w:r>
          </w:p>
          <w:p w14:paraId="6A158773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56FA32D3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2017/2226 z dnia 30 listopada 2017 r. obywateli ustanawiające system wjazdu/wyjazdu (EES) w celu rejestrowania danych dotyczących wjazdu i wyjazdu państw trzecich przekraczających granice zewnętrzne państw członkowskich i danych dotyczących odmowy wjazdu w odniesieniu do takich obywateli oraz określające warunki dostępu do EES na potrzeby ochrony porządku publicznego i zmieniające konwencję wykonawczą do układu z </w:t>
            </w:r>
            <w:proofErr w:type="spellStart"/>
            <w:r w:rsidRPr="00224554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224554">
              <w:rPr>
                <w:rFonts w:ascii="Lato" w:hAnsi="Lato" w:cs="Arial"/>
                <w:sz w:val="18"/>
                <w:szCs w:val="18"/>
              </w:rPr>
              <w:t xml:space="preserve"> i rozporządzenia (WE) nr 767/2008 i (UE) nr 1077/2011(Dz. Urz. UE L 327 z 09.12.2017, s. 20).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9FA5" w14:textId="77777777" w:rsidR="00AA2794" w:rsidRPr="00224554" w:rsidRDefault="00AA2794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Dodano w OZPI wskazane akty prawne zgodnie z propozycją.</w:t>
            </w:r>
          </w:p>
        </w:tc>
      </w:tr>
      <w:tr w:rsidR="00224554" w:rsidRPr="00224554" w14:paraId="04317160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56FF5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F05B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1555B18C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FD36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7.ARCHITEKTURA 7.1. Widok kooperacji aplikacji</w:t>
            </w:r>
          </w:p>
          <w:p w14:paraId="0966C0AF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- Lista systemów wykorzystywanych w projekcie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B8AA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Pozycja 5 w tabeli,  wpisany jest status „Planowany”. </w:t>
            </w:r>
          </w:p>
          <w:p w14:paraId="3E8B2959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  <w:p w14:paraId="011E3796" w14:textId="15BF1352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System EES został uruchomiony 12.10.2025 r.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71868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Zmiana Statusu na Istniejący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4059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Zapis w OZPI poprawiono zgodnie z propozycją.</w:t>
            </w:r>
          </w:p>
        </w:tc>
      </w:tr>
      <w:tr w:rsidR="00224554" w:rsidRPr="00224554" w14:paraId="085730D7" w14:textId="77777777" w:rsidTr="00224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1795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0B9AD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14:paraId="43CFCFC7" w14:textId="77777777" w:rsidR="00AA2794" w:rsidRPr="00224554" w:rsidRDefault="00AA2794" w:rsidP="00F8025E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2EC66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7.ARCHITEKTURA 7.1. Widok kooperacji aplikacji</w:t>
            </w:r>
          </w:p>
          <w:p w14:paraId="6C13B621" w14:textId="77777777" w:rsidR="00AA2794" w:rsidRPr="00224554" w:rsidRDefault="00AA2794" w:rsidP="00F8025E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-Lista systemów wykorzystywanych w projekcie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0F37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Pozycja 10 w tabeli, wpisany jest status „Planowany”. </w:t>
            </w:r>
          </w:p>
          <w:p w14:paraId="4D379B4E" w14:textId="77777777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  <w:p w14:paraId="691E95B3" w14:textId="5E54F50C" w:rsidR="00AA2794" w:rsidRPr="00224554" w:rsidRDefault="00AA2794" w:rsidP="00224554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System KSI EES został uruchomiony 12.10.2025 r.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1EE4F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Zmiana Statusu na Istniejący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3753" w14:textId="77777777" w:rsidR="00AA2794" w:rsidRPr="00224554" w:rsidRDefault="00AA2794" w:rsidP="00224554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224554">
              <w:rPr>
                <w:rFonts w:ascii="Lato" w:hAnsi="Lato" w:cs="Arial"/>
                <w:sz w:val="18"/>
                <w:szCs w:val="18"/>
              </w:rPr>
              <w:t>Zapis w OZPI Poprawiono zgodnie z propozycją.</w:t>
            </w:r>
          </w:p>
        </w:tc>
      </w:tr>
      <w:tr w:rsidR="00836E96" w:rsidRPr="00224554" w14:paraId="2ADD60EE" w14:textId="77777777" w:rsidTr="00224554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D4D4" w14:textId="172CE29B" w:rsidR="00836E96" w:rsidRPr="00224554" w:rsidRDefault="00AA2794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A062" w14:textId="77777777" w:rsidR="00836E96" w:rsidRPr="00224554" w:rsidRDefault="00E01636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proofErr w:type="spellStart"/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A17F" w14:textId="77777777" w:rsidR="00836E96" w:rsidRPr="00224554" w:rsidRDefault="00E01636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2.1. Cele i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korzysci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wynikające z projektu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736E" w14:textId="77777777" w:rsidR="00836E96" w:rsidRPr="00224554" w:rsidRDefault="00E01636" w:rsidP="00224554">
            <w:pPr>
              <w:spacing w:after="12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W przypadku niektórych wskaźników, które zostały zaproponowane przez wnioskodawcę (nie pochodzą z listy wskaźników określonych w działaniu 2.1 FERC),  tj.:</w:t>
            </w:r>
          </w:p>
          <w:p w14:paraId="4ED32B30" w14:textId="77777777" w:rsidR="00836E96" w:rsidRPr="00224554" w:rsidRDefault="00E01636" w:rsidP="00224554">
            <w:pPr>
              <w:pStyle w:val="Akapitzlist"/>
              <w:numPr>
                <w:ilvl w:val="0"/>
                <w:numId w:val="3"/>
              </w:num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Liczba zoptymalizowanych procesów z obszaru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back-office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>,</w:t>
            </w:r>
          </w:p>
          <w:p w14:paraId="162C9D51" w14:textId="77777777" w:rsidR="00836E96" w:rsidRPr="00224554" w:rsidRDefault="00E01636" w:rsidP="00224554">
            <w:pPr>
              <w:pStyle w:val="Akapitzlist"/>
              <w:numPr>
                <w:ilvl w:val="0"/>
                <w:numId w:val="3"/>
              </w:num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Czas potrzebny na wprowadzenie danych wniosku do systemu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ePUK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>,</w:t>
            </w:r>
          </w:p>
          <w:p w14:paraId="489BEDD7" w14:textId="77777777" w:rsidR="00836E96" w:rsidRPr="00224554" w:rsidRDefault="00E01636" w:rsidP="00224554">
            <w:pPr>
              <w:pStyle w:val="Akapitzlist"/>
              <w:numPr>
                <w:ilvl w:val="0"/>
                <w:numId w:val="3"/>
              </w:num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Liczba wdrożonych rozwiązań z obszaru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back-office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>,</w:t>
            </w:r>
          </w:p>
          <w:p w14:paraId="21001A8A" w14:textId="77777777" w:rsidR="00836E96" w:rsidRPr="00224554" w:rsidRDefault="00E01636" w:rsidP="00224554">
            <w:pPr>
              <w:pStyle w:val="Akapitzlist"/>
              <w:numPr>
                <w:ilvl w:val="0"/>
                <w:numId w:val="3"/>
              </w:num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Ograniczenie liczby serwerów wykorzystywanych w ramach systemu na placówkach dyplomat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ycznych,</w:t>
            </w:r>
          </w:p>
          <w:p w14:paraId="1C06D3E9" w14:textId="77777777" w:rsidR="00836E96" w:rsidRPr="00224554" w:rsidRDefault="00E01636" w:rsidP="00224554">
            <w:pPr>
              <w:pStyle w:val="Akapitzlist"/>
              <w:numPr>
                <w:ilvl w:val="0"/>
                <w:numId w:val="3"/>
              </w:num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Liczba rozwiązań typu „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OpenData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>”</w:t>
            </w:r>
          </w:p>
          <w:p w14:paraId="4CFC58D3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zalecane jest podanie ich definicji.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85ED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W przypadku zastosowania wymienionych wskaźników specyficznych dla projektu, proszę o wskazanie ich krótkich definicji.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CACA" w14:textId="712F0456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  <w:shd w:val="clear" w:color="auto" w:fill="FFFF00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OZPI nie przewiduje miejsca na rozbudowane definicje wska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źników własnych. Zostanie to uwzględnione i rozbudowane we wniosku o dofinansowanie i załącznikach (w tym Studium wykonalności). Wskazane wskaźniki są określone w OZPI za pomocą nazwy (jednoznacznie oddając</w:t>
            </w:r>
            <w:r w:rsidR="003D2E16" w:rsidRPr="00224554">
              <w:rPr>
                <w:rFonts w:ascii="Lato" w:hAnsi="Lato" w:cstheme="minorHAnsi"/>
                <w:sz w:val="18"/>
                <w:szCs w:val="18"/>
              </w:rPr>
              <w:t>ej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właściwość wskaźnika) oraz poprzez określenie wartości aktualnej i docelowej</w:t>
            </w:r>
            <w:r w:rsidR="003D2E16" w:rsidRPr="00224554">
              <w:rPr>
                <w:rFonts w:ascii="Lato" w:hAnsi="Lato" w:cstheme="minorHAnsi"/>
                <w:sz w:val="18"/>
                <w:szCs w:val="18"/>
              </w:rPr>
              <w:t>,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metod</w:t>
            </w:r>
            <w:r w:rsidR="003D2E16" w:rsidRPr="00224554">
              <w:rPr>
                <w:rFonts w:ascii="Lato" w:hAnsi="Lato" w:cstheme="minorHAnsi"/>
                <w:sz w:val="18"/>
                <w:szCs w:val="18"/>
              </w:rPr>
              <w:t>y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, źródł</w:t>
            </w:r>
            <w:r w:rsidR="003D2E16" w:rsidRPr="00224554">
              <w:rPr>
                <w:rFonts w:ascii="Lato" w:hAnsi="Lato" w:cstheme="minorHAnsi"/>
                <w:sz w:val="18"/>
                <w:szCs w:val="18"/>
              </w:rPr>
              <w:t>a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i częstotliwoś</w:t>
            </w:r>
            <w:r w:rsidR="003D2E16" w:rsidRPr="00224554">
              <w:rPr>
                <w:rFonts w:ascii="Lato" w:hAnsi="Lato" w:cstheme="minorHAnsi"/>
                <w:sz w:val="18"/>
                <w:szCs w:val="18"/>
              </w:rPr>
              <w:t>ci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pomiaru. Ponadto</w:t>
            </w:r>
            <w:r w:rsidR="003D2E16" w:rsidRPr="00224554">
              <w:rPr>
                <w:rFonts w:ascii="Lato" w:hAnsi="Lato" w:cstheme="minorHAnsi"/>
                <w:sz w:val="18"/>
                <w:szCs w:val="18"/>
              </w:rPr>
              <w:t xml:space="preserve">, część wskazanych wskaźników została uszczegółowiona i rozbudowana w odpowiedzi na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uwag</w:t>
            </w:r>
            <w:r w:rsidR="003D2E16" w:rsidRPr="00224554">
              <w:rPr>
                <w:rFonts w:ascii="Lato" w:hAnsi="Lato" w:cstheme="minorHAnsi"/>
                <w:sz w:val="18"/>
                <w:szCs w:val="18"/>
              </w:rPr>
              <w:t>i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zgłoszon</w:t>
            </w:r>
            <w:r w:rsidR="003D2E16" w:rsidRPr="00224554">
              <w:rPr>
                <w:rFonts w:ascii="Lato" w:hAnsi="Lato" w:cstheme="minorHAnsi"/>
                <w:sz w:val="18"/>
                <w:szCs w:val="18"/>
              </w:rPr>
              <w:t>e przez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RA IT.</w:t>
            </w:r>
          </w:p>
        </w:tc>
      </w:tr>
      <w:tr w:rsidR="00836E96" w:rsidRPr="00224554" w14:paraId="6B26049B" w14:textId="77777777" w:rsidTr="00224554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511F" w14:textId="42299CE9" w:rsidR="00836E96" w:rsidRPr="00224554" w:rsidRDefault="00AA2794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D0C0" w14:textId="77777777" w:rsidR="00836E96" w:rsidRPr="00224554" w:rsidRDefault="00E01636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proofErr w:type="spellStart"/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MNiSW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4252" w14:textId="77777777" w:rsidR="00836E96" w:rsidRPr="00224554" w:rsidRDefault="00E01636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Lista systemów wykorzystywanych w projekcie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2532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Zgodnie z art. 342 ustawy Prawo o szkolnictwie wyższym i nauce (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PSWiN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>) to Minister Nauki prowadzi Zintegrowany System Informacji o Szkolnictwie Wyższym i Nauce POL-on. Gestorem systemu POL-on nie jest więc OPI PI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B, lecz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MNiSW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 xml:space="preserve">. OPI PIB pełni wyłącznie funkcję podmiotu administrującego na zlecenie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MNiSW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>, a nie właściciela ani gestora.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CE1A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W punkcie 14 tabeli [gestor systemu]: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br/>
            </w:r>
            <w:r w:rsidRPr="00224554">
              <w:rPr>
                <w:rFonts w:ascii="Lato" w:hAnsi="Lato" w:cstheme="minorHAnsi"/>
                <w:b/>
                <w:bCs/>
                <w:sz w:val="18"/>
                <w:szCs w:val="18"/>
              </w:rPr>
              <w:t>Ministerstwo Nauki i Szkolnictwa Wyższego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3E69" w14:textId="0C3C53D2" w:rsidR="00836E96" w:rsidRPr="00224554" w:rsidRDefault="003D2E16" w:rsidP="00224554">
            <w:pPr>
              <w:jc w:val="both"/>
              <w:rPr>
                <w:rFonts w:ascii="Lato" w:hAnsi="Lato" w:cstheme="minorHAnsi"/>
                <w:sz w:val="18"/>
                <w:szCs w:val="18"/>
                <w:shd w:val="clear" w:color="auto" w:fill="158466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Zapis w OZPI poprawiono zgodnie z propozycją</w:t>
            </w:r>
          </w:p>
        </w:tc>
      </w:tr>
      <w:tr w:rsidR="00836E96" w:rsidRPr="00224554" w14:paraId="759C1129" w14:textId="77777777" w:rsidTr="00224554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8C92" w14:textId="23D5FAC9" w:rsidR="00836E96" w:rsidRPr="00224554" w:rsidRDefault="00AA2794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C8400" w14:textId="77777777" w:rsidR="00836E96" w:rsidRPr="00224554" w:rsidRDefault="00E01636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proofErr w:type="spellStart"/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MNiSW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A801" w14:textId="77777777" w:rsidR="00836E96" w:rsidRPr="00224554" w:rsidRDefault="00E01636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Lista przepływów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9E416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W systemie POL-on istnieje wykaz cudzoziemców, gromadzący dane studentów cudzoziemców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br/>
              <w:t xml:space="preserve">i doktorantów cudzoziemców, do którego MSZ ma już zapewniony dostęp. OZPI wskazuje jedynie na przekazywanie danych studentów zagranicznych.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br/>
              <w:t xml:space="preserve">W ocenie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MN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iSW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ePUK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powinien otrzymywać dane nie tylko studentów cudzoziemców, ale także doktorantów podejmujących kształcenie w szkołach doktorskich.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0E66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W punkcie 22 tabeli [Zakres wymienianych danych]: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br/>
              <w:t xml:space="preserve">Dane studentów </w:t>
            </w:r>
            <w:r w:rsidRPr="00224554">
              <w:rPr>
                <w:rFonts w:ascii="Lato" w:hAnsi="Lato" w:cstheme="minorHAnsi"/>
                <w:b/>
                <w:bCs/>
                <w:sz w:val="18"/>
                <w:szCs w:val="18"/>
              </w:rPr>
              <w:t>i doktorantów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zagranicznych podejmujących naukę na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wyższych uczelniach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3E84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  <w:shd w:val="clear" w:color="auto" w:fill="81D41A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Zapis w OZPI poprawiono zgodnie z propozycją.</w:t>
            </w:r>
          </w:p>
        </w:tc>
      </w:tr>
      <w:tr w:rsidR="00836E96" w:rsidRPr="00224554" w14:paraId="65740AA6" w14:textId="77777777" w:rsidTr="00224554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B4F79" w14:textId="7BF0F9D1" w:rsidR="00836E96" w:rsidRPr="00224554" w:rsidRDefault="00AA2794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CAD3" w14:textId="77777777" w:rsidR="00836E96" w:rsidRPr="00224554" w:rsidRDefault="00E01636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MC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A97E" w14:textId="77777777" w:rsidR="00836E96" w:rsidRPr="00224554" w:rsidRDefault="00E01636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2.1. Cele i korzyści wynikające z projektu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3FA06" w14:textId="77777777" w:rsidR="00836E96" w:rsidRPr="00224554" w:rsidRDefault="00E01636" w:rsidP="00224554">
            <w:pPr>
              <w:numPr>
                <w:ilvl w:val="0"/>
                <w:numId w:val="13"/>
              </w:numPr>
              <w:ind w:left="36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Należy rozważyć dodanie następujących wskaźników:</w:t>
            </w:r>
          </w:p>
          <w:p w14:paraId="04AB9B50" w14:textId="77777777" w:rsidR="00836E96" w:rsidRPr="00224554" w:rsidRDefault="00E01636" w:rsidP="00224554">
            <w:pPr>
              <w:numPr>
                <w:ilvl w:val="0"/>
                <w:numId w:val="4"/>
              </w:num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 xml:space="preserve">Wartość usług, produktów i procesów cyfrowych opracowanych dla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przedsiębiorstw.</w:t>
            </w:r>
          </w:p>
          <w:p w14:paraId="46720B74" w14:textId="77777777" w:rsidR="00836E96" w:rsidRPr="00224554" w:rsidRDefault="00E01636" w:rsidP="00224554">
            <w:pPr>
              <w:numPr>
                <w:ilvl w:val="0"/>
                <w:numId w:val="4"/>
              </w:num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Liczba rejestrów publicznych o poprawionej interoperacyjności.</w:t>
            </w:r>
          </w:p>
          <w:p w14:paraId="202E2E3E" w14:textId="77777777" w:rsidR="00836E96" w:rsidRPr="00224554" w:rsidRDefault="00E01636" w:rsidP="00224554">
            <w:pPr>
              <w:numPr>
                <w:ilvl w:val="0"/>
                <w:numId w:val="12"/>
              </w:numPr>
              <w:ind w:left="36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Dla wskaźnika „Liczba uruchomionych systemów teleinformatycznych w podmiotach wykonujących zadania publiczne” wskazano wartość bazową równą docelowej. Proszę o weryfikację wart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ości wskaźnika.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D6D8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>Proszę o analizę i korektę opisu założeń.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7548" w14:textId="29DB779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Ad. 1: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Projekt nie zakłada uruchomienia e-usług dla przedsiębiorców (A2B)</w:t>
            </w:r>
            <w:r w:rsidR="003D2E16" w:rsidRPr="00224554">
              <w:rPr>
                <w:rFonts w:ascii="Lato" w:hAnsi="Lato" w:cstheme="minorHAnsi"/>
                <w:sz w:val="18"/>
                <w:szCs w:val="18"/>
              </w:rPr>
              <w:t>,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stąd w ramach projektu nie ujęto wskaźnika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>„Wartość usług, produktów i procesów cyfrowych opracowanych dla przedsiębiorstw”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.</w:t>
            </w:r>
          </w:p>
          <w:p w14:paraId="4CE22080" w14:textId="7E377B35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Projekt nie zakłada utworzeni</w:t>
            </w:r>
            <w:r w:rsidR="00E031B9" w:rsidRPr="00224554">
              <w:rPr>
                <w:rFonts w:ascii="Lato" w:hAnsi="Lato" w:cstheme="minorHAnsi"/>
                <w:sz w:val="18"/>
                <w:szCs w:val="18"/>
              </w:rPr>
              <w:t>a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nowego l</w:t>
            </w:r>
            <w:r w:rsidR="00E031B9" w:rsidRPr="00224554">
              <w:rPr>
                <w:rFonts w:ascii="Lato" w:hAnsi="Lato" w:cstheme="minorHAnsi"/>
                <w:sz w:val="18"/>
                <w:szCs w:val="18"/>
              </w:rPr>
              <w:t>ub modernizacji istniejących rejestrów publicznych. W ramach projektu zakładana jest komunikacja z rejestrami publicznymi (określon</w:t>
            </w:r>
            <w:r w:rsidR="003D2E16" w:rsidRPr="00224554">
              <w:rPr>
                <w:rFonts w:ascii="Lato" w:hAnsi="Lato" w:cstheme="minorHAnsi"/>
                <w:sz w:val="18"/>
                <w:szCs w:val="18"/>
              </w:rPr>
              <w:t>a</w:t>
            </w:r>
            <w:r w:rsidR="00E031B9" w:rsidRPr="00224554">
              <w:rPr>
                <w:rFonts w:ascii="Lato" w:hAnsi="Lato" w:cstheme="minorHAnsi"/>
                <w:sz w:val="18"/>
                <w:szCs w:val="18"/>
              </w:rPr>
              <w:t xml:space="preserve">  w pkt 7.4 OZPI). W zawiązku z tym</w:t>
            </w:r>
            <w:r w:rsidR="003D2E16" w:rsidRPr="00224554">
              <w:rPr>
                <w:rFonts w:ascii="Lato" w:hAnsi="Lato" w:cstheme="minorHAnsi"/>
                <w:sz w:val="18"/>
                <w:szCs w:val="18"/>
              </w:rPr>
              <w:t>, również</w:t>
            </w:r>
            <w:r w:rsidR="00E031B9" w:rsidRPr="00224554">
              <w:rPr>
                <w:rFonts w:ascii="Lato" w:hAnsi="Lato" w:cstheme="minorHAnsi"/>
                <w:sz w:val="18"/>
                <w:szCs w:val="18"/>
              </w:rPr>
              <w:t xml:space="preserve"> wskaźnik „Liczba rejestrów publicznych o poprawionej interoperacyjności” nie został ujęty w ramach projektu.</w:t>
            </w:r>
          </w:p>
          <w:p w14:paraId="2C2B9B82" w14:textId="77777777" w:rsidR="00856D66" w:rsidRPr="00224554" w:rsidRDefault="00856D6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  <w:p w14:paraId="1A05A412" w14:textId="34368F7E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Ad. 2: Poprawiono zapis w OZPI.</w:t>
            </w:r>
          </w:p>
        </w:tc>
      </w:tr>
      <w:tr w:rsidR="00836E96" w:rsidRPr="00224554" w14:paraId="6304EB1A" w14:textId="77777777" w:rsidTr="00224554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9606A" w14:textId="0C409BAC" w:rsidR="00836E96" w:rsidRPr="00224554" w:rsidRDefault="00AA2794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A1BE" w14:textId="77777777" w:rsidR="00836E96" w:rsidRPr="00224554" w:rsidRDefault="00E01636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MC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CAB2" w14:textId="77777777" w:rsidR="00836E96" w:rsidRPr="00224554" w:rsidRDefault="00E01636" w:rsidP="00224554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3. Kamienie milowe</w:t>
            </w:r>
          </w:p>
          <w:p w14:paraId="7F95CBE0" w14:textId="77777777" w:rsidR="00836E96" w:rsidRPr="00224554" w:rsidRDefault="00E01636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2.4 Produkty końcowe projektu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5FF0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MC dostrzega konieczność przeprowadzenia oceny skutków dla ochrony danych osobowych o której mowa w art. 35 RODO. Niewątpliwie świadczenie usług publicznych drogą elektroniczną będzie się wiązało z przetwarzaniem danych osobowych w ramach czynności adminis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tracyjnych, w tym wydawaniem karty Polaka,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mlegitymacji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>, wydawaniem zezwoleń MRG . Oprócz niewątpliwych korzyści o których wspomniano w projekcie związanych z :</w:t>
            </w:r>
          </w:p>
          <w:p w14:paraId="1F5C54EE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- możliwością szybkiego i sprawnego załatwiania spraw przez klientów bez konieczności osobisteg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o stawiennictwa w urzędzie;</w:t>
            </w:r>
          </w:p>
          <w:p w14:paraId="3432E0AA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- skróceniem czasu poświęconego na realizację spraw;</w:t>
            </w:r>
          </w:p>
          <w:p w14:paraId="1EE1A80F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- zmniejszeniem liczby wizyt w urzędach;</w:t>
            </w:r>
          </w:p>
          <w:p w14:paraId="51F91A2B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- zmniejszeniem kosztów obsługi bezpośredniej klientów;</w:t>
            </w:r>
          </w:p>
          <w:p w14:paraId="5C6DD1D7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- możliwością bezpiecznego i skutecznego weryfikowania tożsamości klientów (ob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ywateli i cudzoziemców) zgłaszających się w formie elektronicznej;</w:t>
            </w:r>
          </w:p>
          <w:p w14:paraId="7C18065C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- zwiększeniem dostępności usług administracji publicznej, szczególnie dla osób niepełnosprawnych oraz borykających się z wykluczeniem komunikacyjnym;</w:t>
            </w:r>
          </w:p>
          <w:p w14:paraId="40B8EEC8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- podniesieniem kwalifikacji personelu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wpływające korzystnie na efektywność, bezpieczeństwo i ciągłość działania systemów teleinformatycznych oraz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>zapewnienie szybszej i na wyższym poziomie obsługi klientów;</w:t>
            </w:r>
          </w:p>
          <w:p w14:paraId="11AD5623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procesy wiązać będą się z możliwymi zagrożeniami dla prywatności osób w przypadku: nie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działania systemu, dostępem do systemu osób nieuprawnionych, wyciekiem informacji i danych z systemu.</w:t>
            </w:r>
          </w:p>
          <w:p w14:paraId="41CE2A45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Na dzień dzisiejszy opis projektu nie zawiera informacji o planowanych działaniach związanych z analizą projektu pod kątem wpływu na prywatność osób i jeg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o bezpieczeństwo, o których mowa w art. 35 RODO. Tym samym w projekt wymaga uzupełnienia o ocenę skutków dla ochrony danych osobowych.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83B1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>Proszę o analizę i korektę opisu założeń.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0E2FD" w14:textId="317E9658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W projekcie założono przeprowadzenie inicjalnego testu prywatności w początkowe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j fazie projektu i weryfikacyjnego testu prywatności w końcowej fazie wdrożenia.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Zakłada się dokonywanie okresowej weryfikacji założeń w trakcie całego trwania projektu, jak również w okresie eksploatacji systemu.</w:t>
            </w:r>
          </w:p>
          <w:p w14:paraId="34B0B48A" w14:textId="77777777" w:rsidR="00836E96" w:rsidRPr="00224554" w:rsidRDefault="00836E9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  <w:p w14:paraId="7A0AE78C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Planowany do przeprowadzenia test prywatn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ości wynika z Rozporządzenia Parlamentu Europejskiego i Rady (UE) 2016/679 z dnia 27 kwietnia 2016 r. w sprawie ochrony osób fizycznych w związku z przetwarzaniem danych osobowych i w sprawie swobodnego przepływu takich danych oraz uchylenia dyrektywy 95/4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6/WE (ogólne rozporządzenie o ochronie danych) i dotyczy weryfikacji zasad przetwarzania danych osobowych określonych w art. 5 rozporządzenia, w szczególności zgodności z prawem, rzetelności i przejrzystości, ograniczenia przechowywania, integralności i po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ufności oraz zasadę rozliczalności. Test prywatności obejmuje m.in.:</w:t>
            </w:r>
          </w:p>
          <w:p w14:paraId="0F61E8C3" w14:textId="77777777" w:rsidR="00836E96" w:rsidRPr="00224554" w:rsidRDefault="00E01636" w:rsidP="00224554">
            <w:pPr>
              <w:numPr>
                <w:ilvl w:val="0"/>
                <w:numId w:val="9"/>
              </w:num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analizę potrzeb i wdrożenie środków technicznych i organizacyjnych w celu skutecznej realizacji zasad ochrony danych oraz nadania przetwarzaniu niezbędnych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 xml:space="preserve">zabezpieczeń (art. 25 ogólnego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rozporządzenie o ochronie danych),</w:t>
            </w:r>
          </w:p>
          <w:p w14:paraId="3A2B40E7" w14:textId="0CCF23AA" w:rsidR="00836E96" w:rsidRPr="00224554" w:rsidRDefault="00E01636" w:rsidP="00224554">
            <w:pPr>
              <w:numPr>
                <w:ilvl w:val="0"/>
                <w:numId w:val="9"/>
              </w:num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ocenę skutków dla ochrony danych (art. 35 ogólnego rozporządzenie o ochronie danych).</w:t>
            </w:r>
          </w:p>
          <w:p w14:paraId="2865C35F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Zakres testu prywatności będzie uzależniony od aspektów przetwarzania danych osobowych, jakich dotyczy projekt i w tym zakresie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będzie dokonana pogłębiona analiza.</w:t>
            </w:r>
          </w:p>
        </w:tc>
      </w:tr>
      <w:tr w:rsidR="00836E96" w:rsidRPr="00224554" w14:paraId="723AA432" w14:textId="77777777" w:rsidTr="00224554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2B3F" w14:textId="4E7947A5" w:rsidR="00836E96" w:rsidRPr="00224554" w:rsidRDefault="00224554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lastRenderedPageBreak/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F1D2" w14:textId="77777777" w:rsidR="00836E96" w:rsidRPr="00224554" w:rsidRDefault="00E01636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MC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C847" w14:textId="77777777" w:rsidR="00836E96" w:rsidRPr="00224554" w:rsidRDefault="00E01636" w:rsidP="00224554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5.2 Ryzyka wpływające na utrzymanie efektów</w:t>
            </w:r>
          </w:p>
          <w:p w14:paraId="74400E1A" w14:textId="77777777" w:rsidR="00836E96" w:rsidRPr="00224554" w:rsidRDefault="00836E96">
            <w:pPr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F221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W projekcie wskazuje się ryzyko związane z awarią infrastruktury. W ocenie MC projekt wymaga szerszego spojrzenia pod kątem możliwych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ryzyk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>: w tym cyberataków, podatności dotyczących bezpieczeństwa dla powstającego systemu, które mogą mieć wpływ na bezpiec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zeństwo danych w systemie, osób, których te dane dotyczą oraz na interes prawny i wizerunkowy MSZ.</w:t>
            </w:r>
          </w:p>
          <w:p w14:paraId="737AD166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W ocenie MC  konieczne jest wdrożenie procesu zarządzania tymi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ryzykami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np. stosowanie zasady </w:t>
            </w:r>
            <w:proofErr w:type="spellStart"/>
            <w:r w:rsidRPr="00224554">
              <w:rPr>
                <w:rFonts w:ascii="Lato" w:hAnsi="Lato" w:cstheme="minorHAnsi"/>
                <w:sz w:val="18"/>
                <w:szCs w:val="18"/>
              </w:rPr>
              <w:t>privacy</w:t>
            </w:r>
            <w:proofErr w:type="spellEnd"/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by design na każdym etapie projektu, zaangażowanie IOD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MSZ, identyfikowanie podatności dot. bezpieczeństwa dla systemu oraz prowadzenie regularnych audytów bezpieczeństwa.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2818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Proszę o analizę i korektę opisu założeń.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17DE" w14:textId="5F659921" w:rsidR="00836E96" w:rsidRPr="00224554" w:rsidRDefault="003D2E1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Dokonano ponownej analizy i zamieszczono dodatkowe ryzyko w pkt 5.2 OZPI.</w:t>
            </w:r>
          </w:p>
        </w:tc>
      </w:tr>
      <w:tr w:rsidR="00836E96" w:rsidRPr="00224554" w14:paraId="1FBC365D" w14:textId="77777777" w:rsidTr="00224554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F871" w14:textId="2DC5139F" w:rsidR="00836E96" w:rsidRPr="00224554" w:rsidRDefault="00224554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DEA4" w14:textId="77777777" w:rsidR="00836E96" w:rsidRPr="00224554" w:rsidRDefault="00E01636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proofErr w:type="spellStart"/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MFiG</w:t>
            </w:r>
            <w:proofErr w:type="spellEnd"/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/</w:t>
            </w: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br/>
              <w:t>Ministerstwo Fi</w:t>
            </w: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nansów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2062" w14:textId="77777777" w:rsidR="00836E96" w:rsidRPr="00224554" w:rsidRDefault="00E01636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Pkt 7 ust. 7.1. wiersz 3 tabeli „Lista systemów wykorzystywanych w projekcie”.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0B2B" w14:textId="77777777" w:rsidR="00836E96" w:rsidRPr="00224554" w:rsidRDefault="00E01636" w:rsidP="00224554">
            <w:pPr>
              <w:pStyle w:val="Akapitzlist"/>
              <w:numPr>
                <w:ilvl w:val="0"/>
                <w:numId w:val="5"/>
              </w:numPr>
              <w:ind w:left="319" w:hanging="319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Brak wskazanego celu wraz z uzasadnieniem pobierania danych z CRP KEP.</w:t>
            </w:r>
          </w:p>
          <w:p w14:paraId="1C4A59F9" w14:textId="77777777" w:rsidR="00836E96" w:rsidRPr="00224554" w:rsidRDefault="00E01636" w:rsidP="00224554">
            <w:pPr>
              <w:pStyle w:val="Akapitzlist"/>
              <w:numPr>
                <w:ilvl w:val="0"/>
                <w:numId w:val="5"/>
              </w:numPr>
              <w:ind w:left="319" w:hanging="319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Brak podstawy prawnej do udostępniania danych z CRP KEP (art. 15 ust. 1 ustawy o zasadach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ewidencji i identyfikacji podatników i płatników przewiduje, że dane zawarte w CRP KEP objęte są tajemnicą skarbową, natomiast art. 15 ust. 2 wskazuje na zamknięty katalog osób i instytucji, którym dane są udostępniane).</w:t>
            </w:r>
          </w:p>
          <w:p w14:paraId="6B6A67C4" w14:textId="77777777" w:rsidR="00836E96" w:rsidRPr="00224554" w:rsidRDefault="00E01636" w:rsidP="00224554">
            <w:pPr>
              <w:pStyle w:val="Akapitzlist"/>
              <w:numPr>
                <w:ilvl w:val="0"/>
                <w:numId w:val="5"/>
              </w:numPr>
              <w:ind w:left="319" w:hanging="319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Korekta „opis systemu”.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BC0E3" w14:textId="77777777" w:rsidR="00836E96" w:rsidRPr="00224554" w:rsidRDefault="00E01636" w:rsidP="00224554">
            <w:pPr>
              <w:pStyle w:val="Akapitzlist"/>
              <w:numPr>
                <w:ilvl w:val="0"/>
                <w:numId w:val="6"/>
              </w:numPr>
              <w:ind w:left="320" w:hanging="320"/>
              <w:jc w:val="both"/>
              <w:rPr>
                <w:rFonts w:ascii="Lato" w:hAnsi="Lato" w:cs="Calibri"/>
                <w:sz w:val="18"/>
                <w:szCs w:val="18"/>
              </w:rPr>
            </w:pPr>
            <w:r w:rsidRPr="00224554">
              <w:rPr>
                <w:rFonts w:ascii="Lato" w:hAnsi="Lato" w:cs="Calibri"/>
                <w:sz w:val="18"/>
                <w:szCs w:val="18"/>
              </w:rPr>
              <w:t xml:space="preserve">Wskazanie </w:t>
            </w:r>
            <w:r w:rsidRPr="00224554">
              <w:rPr>
                <w:rFonts w:ascii="Lato" w:hAnsi="Lato" w:cs="Calibri"/>
                <w:sz w:val="18"/>
                <w:szCs w:val="18"/>
              </w:rPr>
              <w:t>celu, dla którego pobór danych z CRP KEP jest niezbędny dla realizacji projektu.</w:t>
            </w:r>
          </w:p>
          <w:p w14:paraId="7FC3B9E0" w14:textId="77777777" w:rsidR="00836E96" w:rsidRPr="00224554" w:rsidRDefault="00E01636" w:rsidP="00224554">
            <w:pPr>
              <w:pStyle w:val="Akapitzlist"/>
              <w:numPr>
                <w:ilvl w:val="0"/>
                <w:numId w:val="6"/>
              </w:numPr>
              <w:ind w:left="320" w:hanging="320"/>
              <w:jc w:val="both"/>
              <w:rPr>
                <w:rFonts w:ascii="Lato" w:hAnsi="Lato" w:cs="Calibri"/>
                <w:sz w:val="18"/>
                <w:szCs w:val="18"/>
              </w:rPr>
            </w:pPr>
            <w:r w:rsidRPr="00224554">
              <w:rPr>
                <w:rFonts w:ascii="Lato" w:hAnsi="Lato" w:cs="Calibri"/>
                <w:sz w:val="18"/>
                <w:szCs w:val="18"/>
              </w:rPr>
              <w:t>Wskazanie podstawy prawnej udostępnianych informacji</w:t>
            </w:r>
          </w:p>
          <w:p w14:paraId="12BEB87E" w14:textId="77777777" w:rsidR="00836E96" w:rsidRPr="00224554" w:rsidRDefault="00E01636" w:rsidP="00224554">
            <w:pPr>
              <w:pStyle w:val="Akapitzlist"/>
              <w:numPr>
                <w:ilvl w:val="0"/>
                <w:numId w:val="6"/>
              </w:numPr>
              <w:ind w:left="320" w:hanging="320"/>
              <w:jc w:val="both"/>
              <w:rPr>
                <w:rFonts w:ascii="Lato" w:hAnsi="Lato" w:cs="Calibri"/>
                <w:i/>
                <w:iCs/>
                <w:sz w:val="18"/>
                <w:szCs w:val="18"/>
              </w:rPr>
            </w:pPr>
            <w:r w:rsidRPr="00224554">
              <w:rPr>
                <w:rFonts w:ascii="Lato" w:hAnsi="Lato" w:cs="Calibri"/>
                <w:sz w:val="18"/>
                <w:szCs w:val="18"/>
              </w:rPr>
              <w:t>Dodanie do pkt 2 „Ewidencja i identyfikacja podatników i płatników podatków oraz płatników składek na ubezpieczenie społec</w:t>
            </w:r>
            <w:r w:rsidRPr="00224554">
              <w:rPr>
                <w:rFonts w:ascii="Lato" w:hAnsi="Lato" w:cs="Calibri"/>
                <w:sz w:val="18"/>
                <w:szCs w:val="18"/>
              </w:rPr>
              <w:t>zne i zdrowotne” frazy:</w:t>
            </w:r>
          </w:p>
          <w:p w14:paraId="39B885D4" w14:textId="77777777" w:rsidR="00836E96" w:rsidRPr="00224554" w:rsidRDefault="00E01636" w:rsidP="00224554">
            <w:pPr>
              <w:ind w:left="32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="Calibri"/>
                <w:sz w:val="18"/>
                <w:szCs w:val="18"/>
              </w:rPr>
              <w:t>Po: „nadawanie Identyfikatora NIP”, dodanie:</w:t>
            </w:r>
            <w:r w:rsidRPr="00224554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„</w:t>
            </w:r>
            <w:r w:rsidRPr="00224554">
              <w:rPr>
                <w:rFonts w:ascii="Lato" w:hAnsi="Lato" w:cs="Calibri"/>
                <w:i/>
                <w:iCs/>
                <w:sz w:val="18"/>
                <w:szCs w:val="18"/>
              </w:rPr>
              <w:t>o ile taki obowiązek wynika z przepisu ustawy”</w:t>
            </w:r>
            <w:r w:rsidRPr="00224554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9B43" w14:textId="77777777" w:rsidR="001E3A3C" w:rsidRPr="00224554" w:rsidRDefault="001E3A3C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Cel: Przeprowadzenie postępowania w sprawie wydania, cofnięcia lub unieważnienia wizy.</w:t>
            </w:r>
          </w:p>
          <w:p w14:paraId="3A07B492" w14:textId="77777777" w:rsidR="001E3A3C" w:rsidRPr="00224554" w:rsidRDefault="001E3A3C" w:rsidP="00224554">
            <w:pPr>
              <w:numPr>
                <w:ilvl w:val="1"/>
                <w:numId w:val="2"/>
              </w:numPr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  <w:p w14:paraId="77023AB1" w14:textId="02323B50" w:rsidR="001E3A3C" w:rsidRPr="00224554" w:rsidRDefault="001E3A3C" w:rsidP="00224554">
            <w:pPr>
              <w:numPr>
                <w:ilvl w:val="1"/>
                <w:numId w:val="2"/>
              </w:num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Podstawa prawna: Ustawa z dnia 4 kwietnia 2025 r. o zmianie niektórych ustaw w celu wyeliminowania nieprawidłowości w systemie wizowym Rzeczypospolitej Polskiej</w:t>
            </w:r>
            <w:r w:rsidR="003463A3" w:rsidRPr="00224554">
              <w:rPr>
                <w:rFonts w:ascii="Lato" w:hAnsi="Lato" w:cstheme="minorHAnsi"/>
                <w:sz w:val="18"/>
                <w:szCs w:val="18"/>
              </w:rPr>
              <w:t>.</w:t>
            </w:r>
          </w:p>
          <w:p w14:paraId="3597028D" w14:textId="17FBD03B" w:rsidR="001E3A3C" w:rsidRPr="00224554" w:rsidRDefault="003463A3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„</w:t>
            </w:r>
            <w:r w:rsidR="001E3A3C" w:rsidRPr="00224554">
              <w:rPr>
                <w:rFonts w:ascii="Lato" w:hAnsi="Lato" w:cstheme="minorHAnsi"/>
                <w:sz w:val="18"/>
                <w:szCs w:val="18"/>
              </w:rPr>
              <w:t>Art. 2. W ustawie z dnia 29 sierpnia 1997 r. – Ordynacja podatkowa (Dz. U. z 2025 r. poz. 111, 497 i 621) w art. 298 po pkt 6aa dodaje się pkt 6ab w brzmieniu:</w:t>
            </w:r>
          </w:p>
          <w:p w14:paraId="3B8535ED" w14:textId="2573F400" w:rsidR="001E3A3C" w:rsidRPr="00224554" w:rsidRDefault="001E3A3C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lastRenderedPageBreak/>
              <w:t>„6ab) ministrowi właściwemu do spraw zagranicznych oraz konsulowi – w zakresie niezbędnym do przeprowadzenia postępowania w sprawie wydania, cofnięcia lub unieważnienia wizy;”</w:t>
            </w:r>
            <w:r w:rsidR="003463A3" w:rsidRPr="00224554">
              <w:rPr>
                <w:rFonts w:ascii="Lato" w:hAnsi="Lato" w:cstheme="minorHAnsi"/>
                <w:sz w:val="18"/>
                <w:szCs w:val="18"/>
              </w:rPr>
              <w:t>”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.</w:t>
            </w:r>
          </w:p>
          <w:p w14:paraId="48454EFD" w14:textId="77777777" w:rsidR="001F5E8C" w:rsidRPr="00224554" w:rsidRDefault="001F5E8C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  <w:p w14:paraId="70203C75" w14:textId="4355F862" w:rsidR="001F5E8C" w:rsidRPr="00224554" w:rsidRDefault="001F5E8C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Dodano </w:t>
            </w:r>
            <w:r w:rsidR="00856D66" w:rsidRPr="00224554">
              <w:rPr>
                <w:rFonts w:ascii="Lato" w:hAnsi="Lato" w:cstheme="minorHAnsi"/>
                <w:sz w:val="18"/>
                <w:szCs w:val="18"/>
              </w:rPr>
              <w:t>wskazany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akt prawny do </w:t>
            </w:r>
            <w:r w:rsidR="00856D66" w:rsidRPr="00224554">
              <w:rPr>
                <w:rFonts w:ascii="Lato" w:hAnsi="Lato" w:cstheme="minorHAnsi"/>
                <w:sz w:val="18"/>
                <w:szCs w:val="18"/>
              </w:rPr>
              <w:t>pkt 6 OZPI (otoczenie prawne).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Skorygowano opis systemu zgodnie z propozycją.</w:t>
            </w:r>
          </w:p>
        </w:tc>
      </w:tr>
      <w:tr w:rsidR="00836E96" w:rsidRPr="00224554" w14:paraId="326AFD2E" w14:textId="77777777" w:rsidTr="00224554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49F5" w14:textId="30D85935" w:rsidR="00836E96" w:rsidRPr="00224554" w:rsidRDefault="00224554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EA03" w14:textId="77777777" w:rsidR="00836E96" w:rsidRPr="00224554" w:rsidRDefault="00E01636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proofErr w:type="spellStart"/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MFiG</w:t>
            </w:r>
            <w:proofErr w:type="spellEnd"/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/</w:t>
            </w: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br/>
              <w:t>Ministerstwo Finansów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3CCD" w14:textId="77777777" w:rsidR="00836E96" w:rsidRPr="00224554" w:rsidRDefault="00E01636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Pkt 7 ust. 7.1. wiersz 4 tabeli „Lista przepływów”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316E" w14:textId="77777777" w:rsidR="00836E96" w:rsidRPr="00224554" w:rsidRDefault="00E01636" w:rsidP="00224554">
            <w:pPr>
              <w:pStyle w:val="Akapitzlist"/>
              <w:numPr>
                <w:ilvl w:val="0"/>
                <w:numId w:val="7"/>
              </w:numPr>
              <w:ind w:left="319" w:hanging="319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Korekta „zakresu wymienianych danych” bowiem CRP KEP nie zawiera zakładki „dane o rejestracji cudzoziemców” (brak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dedykowanych oznaczeń dla tej grupy osób fizycznych).</w:t>
            </w:r>
          </w:p>
          <w:p w14:paraId="186B2234" w14:textId="77777777" w:rsidR="00836E96" w:rsidRPr="00224554" w:rsidRDefault="00E01636" w:rsidP="00224554">
            <w:pPr>
              <w:pStyle w:val="Akapitzlist"/>
              <w:numPr>
                <w:ilvl w:val="0"/>
                <w:numId w:val="7"/>
              </w:numPr>
              <w:ind w:left="319" w:hanging="319"/>
              <w:jc w:val="both"/>
              <w:rPr>
                <w:rFonts w:ascii="Lato" w:hAnsi="Lato" w:cs="Calibri"/>
                <w:sz w:val="18"/>
                <w:szCs w:val="18"/>
              </w:rPr>
            </w:pPr>
            <w:r w:rsidRPr="00224554">
              <w:rPr>
                <w:rFonts w:ascii="Lato" w:hAnsi="Lato" w:cs="Calibri"/>
                <w:sz w:val="18"/>
                <w:szCs w:val="18"/>
              </w:rPr>
              <w:t xml:space="preserve">Wątpliwości w zakresie Typ </w:t>
            </w:r>
            <w:proofErr w:type="spellStart"/>
            <w:r w:rsidRPr="00224554">
              <w:rPr>
                <w:rFonts w:ascii="Lato" w:hAnsi="Lato" w:cs="Calibri"/>
                <w:sz w:val="18"/>
                <w:szCs w:val="18"/>
              </w:rPr>
              <w:t>intefejsu</w:t>
            </w:r>
            <w:proofErr w:type="spellEnd"/>
            <w:r w:rsidRPr="00224554">
              <w:rPr>
                <w:rFonts w:ascii="Lato" w:hAnsi="Lato" w:cs="Calibri"/>
                <w:sz w:val="18"/>
                <w:szCs w:val="18"/>
              </w:rPr>
              <w:t xml:space="preserve"> „REST API”.</w:t>
            </w:r>
          </w:p>
          <w:p w14:paraId="610BE52D" w14:textId="77777777" w:rsidR="00836E96" w:rsidRPr="00224554" w:rsidRDefault="00836E9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E9B5" w14:textId="77777777" w:rsidR="00836E96" w:rsidRPr="00224554" w:rsidRDefault="00E01636" w:rsidP="00224554">
            <w:pPr>
              <w:pStyle w:val="Akapitzlist"/>
              <w:numPr>
                <w:ilvl w:val="0"/>
                <w:numId w:val="8"/>
              </w:numPr>
              <w:ind w:left="320" w:hanging="32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Zmiana zapisu na:</w:t>
            </w:r>
          </w:p>
          <w:p w14:paraId="34098FFC" w14:textId="77777777" w:rsidR="00836E96" w:rsidRPr="00224554" w:rsidRDefault="00E01636" w:rsidP="00224554">
            <w:pPr>
              <w:pStyle w:val="Akapitzlist"/>
              <w:ind w:left="320" w:hanging="32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      „Dane o podatnikach, płatnikach podatków oraz płatnikach składek na ubezpieczenie społeczne oraz ubezpieczenia zdrowotne” mając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 na uwadze, że zostanie określony cel i podstawa prawna poboru tych danych.</w:t>
            </w:r>
          </w:p>
          <w:p w14:paraId="6DE5781B" w14:textId="77777777" w:rsidR="00836E96" w:rsidRPr="00224554" w:rsidRDefault="00E01636" w:rsidP="00224554">
            <w:pPr>
              <w:pStyle w:val="Akapitzlist"/>
              <w:numPr>
                <w:ilvl w:val="0"/>
                <w:numId w:val="8"/>
              </w:numPr>
              <w:ind w:left="320" w:hanging="320"/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Jeżeli planowane są zmiany ustawowe, które umożliwią pobieranie danych z CRP KEP, w celu ich przekazania niezbędne będzie zbudowanie funkcjonalności umożliwiającej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przesyłanie tych danych (API), na które projekt powinien zabezpieczyć środki finansowe.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B0D6" w14:textId="1127F97A" w:rsidR="00836E96" w:rsidRPr="00224554" w:rsidRDefault="003463A3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Ad. 1: </w:t>
            </w:r>
            <w:r w:rsidR="001F5E8C" w:rsidRPr="00224554">
              <w:rPr>
                <w:rFonts w:ascii="Lato" w:hAnsi="Lato" w:cstheme="minorHAnsi"/>
                <w:sz w:val="18"/>
                <w:szCs w:val="18"/>
              </w:rPr>
              <w:t>Zmodyfikowano opis przepływu nr 4 zgodnie z uwagą.</w:t>
            </w:r>
          </w:p>
          <w:p w14:paraId="5270DBE1" w14:textId="77777777" w:rsidR="00856D66" w:rsidRPr="00224554" w:rsidRDefault="00856D6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  <w:p w14:paraId="6EE67C8F" w14:textId="71FB5821" w:rsidR="001F5E8C" w:rsidRPr="00224554" w:rsidRDefault="003463A3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Ad. 2: </w:t>
            </w:r>
            <w:r w:rsidR="00CF278A" w:rsidRPr="00224554">
              <w:rPr>
                <w:rFonts w:ascii="Lato" w:hAnsi="Lato" w:cstheme="minorHAnsi"/>
                <w:sz w:val="18"/>
                <w:szCs w:val="18"/>
              </w:rPr>
              <w:t>System</w:t>
            </w:r>
            <w:r w:rsidR="001F5E8C" w:rsidRPr="00224554">
              <w:rPr>
                <w:rFonts w:ascii="Lato" w:hAnsi="Lato" w:cstheme="minorHAnsi"/>
                <w:sz w:val="18"/>
                <w:szCs w:val="18"/>
              </w:rPr>
              <w:t xml:space="preserve"> </w:t>
            </w:r>
            <w:proofErr w:type="spellStart"/>
            <w:r w:rsidR="001F5E8C" w:rsidRPr="00224554">
              <w:rPr>
                <w:rFonts w:ascii="Lato" w:hAnsi="Lato" w:cstheme="minorHAnsi"/>
                <w:sz w:val="18"/>
                <w:szCs w:val="18"/>
              </w:rPr>
              <w:t>ePUK</w:t>
            </w:r>
            <w:proofErr w:type="spellEnd"/>
            <w:r w:rsidR="001F5E8C" w:rsidRPr="00224554">
              <w:rPr>
                <w:rFonts w:ascii="Lato" w:hAnsi="Lato" w:cstheme="minorHAnsi"/>
                <w:sz w:val="18"/>
                <w:szCs w:val="18"/>
              </w:rPr>
              <w:t xml:space="preserve"> </w:t>
            </w:r>
            <w:r w:rsidR="00CF278A" w:rsidRPr="00224554">
              <w:rPr>
                <w:rFonts w:ascii="Lato" w:hAnsi="Lato" w:cstheme="minorHAnsi"/>
                <w:sz w:val="18"/>
                <w:szCs w:val="18"/>
              </w:rPr>
              <w:t>będzie przygotow</w:t>
            </w:r>
            <w:r w:rsidR="00585EA5" w:rsidRPr="00224554">
              <w:rPr>
                <w:rFonts w:ascii="Lato" w:hAnsi="Lato" w:cstheme="minorHAnsi"/>
                <w:sz w:val="18"/>
                <w:szCs w:val="18"/>
              </w:rPr>
              <w:t>yw</w:t>
            </w:r>
            <w:r w:rsidR="00CF278A" w:rsidRPr="00224554">
              <w:rPr>
                <w:rFonts w:ascii="Lato" w:hAnsi="Lato" w:cstheme="minorHAnsi"/>
                <w:sz w:val="18"/>
                <w:szCs w:val="18"/>
              </w:rPr>
              <w:t>any na odbiór danych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,</w:t>
            </w:r>
            <w:r w:rsidR="00CF278A" w:rsidRPr="00224554">
              <w:rPr>
                <w:rFonts w:ascii="Lato" w:hAnsi="Lato" w:cstheme="minorHAnsi"/>
                <w:sz w:val="18"/>
                <w:szCs w:val="18"/>
              </w:rPr>
              <w:t xml:space="preserve"> z systemu CRP KEP, wynikających z ustawy z dnia 4 kwietnia 2025 r</w:t>
            </w:r>
            <w:r w:rsidR="001F5E8C" w:rsidRPr="00224554">
              <w:rPr>
                <w:rFonts w:ascii="Lato" w:hAnsi="Lato" w:cstheme="minorHAnsi"/>
                <w:sz w:val="18"/>
                <w:szCs w:val="18"/>
              </w:rPr>
              <w:t>.</w:t>
            </w:r>
            <w:r w:rsidR="00CF278A" w:rsidRPr="00224554">
              <w:rPr>
                <w:rFonts w:ascii="Lato" w:hAnsi="Lato" w:cstheme="minorHAnsi"/>
                <w:sz w:val="18"/>
                <w:szCs w:val="18"/>
              </w:rPr>
              <w:t xml:space="preserve"> o zmianie niektórych ustaw w celu wyeliminowania nieprawidłowości w systemie wizowym Rzeczypospolitej Polskiej.</w:t>
            </w:r>
          </w:p>
          <w:p w14:paraId="5A1B5987" w14:textId="77777777" w:rsidR="00856D66" w:rsidRPr="00224554" w:rsidRDefault="00856D6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  <w:p w14:paraId="173DA18B" w14:textId="35E2D53D" w:rsidR="001F5E8C" w:rsidRPr="00224554" w:rsidRDefault="003463A3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Zmodyfikowano zapis w tabeli przepływów</w:t>
            </w:r>
            <w:r w:rsidR="004462DA" w:rsidRPr="00224554">
              <w:rPr>
                <w:rFonts w:ascii="Lato" w:hAnsi="Lato" w:cstheme="minorHAnsi"/>
                <w:sz w:val="18"/>
                <w:szCs w:val="18"/>
              </w:rPr>
              <w:t xml:space="preserve"> – Typ interfejsu: „REQUEST/RESPONSE”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.</w:t>
            </w:r>
          </w:p>
        </w:tc>
      </w:tr>
      <w:tr w:rsidR="00836E96" w:rsidRPr="00AA2794" w14:paraId="6B5EA20C" w14:textId="77777777" w:rsidTr="00224554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A394" w14:textId="0244AB0B" w:rsidR="00836E96" w:rsidRPr="00224554" w:rsidRDefault="00224554">
            <w:pPr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44C0" w14:textId="77777777" w:rsidR="00836E96" w:rsidRPr="00224554" w:rsidRDefault="00E01636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proofErr w:type="spellStart"/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MFiG</w:t>
            </w:r>
            <w:proofErr w:type="spellEnd"/>
            <w:r w:rsidRPr="00224554">
              <w:rPr>
                <w:rFonts w:ascii="Lato" w:hAnsi="Lato" w:cstheme="minorHAnsi"/>
                <w:b/>
                <w:sz w:val="18"/>
                <w:szCs w:val="18"/>
              </w:rPr>
              <w:t>/</w:t>
            </w:r>
            <w:r w:rsidRPr="00224554">
              <w:rPr>
                <w:rFonts w:ascii="Lato" w:hAnsi="Lato" w:cstheme="minorHAnsi"/>
                <w:b/>
                <w:sz w:val="18"/>
                <w:szCs w:val="18"/>
              </w:rPr>
              <w:br/>
              <w:t>Ministerstwo Finansów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4760" w14:textId="77777777" w:rsidR="00836E96" w:rsidRPr="00224554" w:rsidRDefault="00E01636">
            <w:pPr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 xml:space="preserve">Pkt 7 ust. 7.4 wiersz 5 tabeli „Ewidencja podatników 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br/>
              <w:t>i płatników”.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0E9C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Wątpliwości co do nazwy rejestru, który obejmuje „zbiór danych o płatnikach podatku PIT, CIT i VAT”. CRP KEP nie zawiera informacji o składanych deklaracjach czy zeznaniach dla potrzeb kon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kretnego podatku.</w:t>
            </w:r>
          </w:p>
          <w:p w14:paraId="52C93D41" w14:textId="77777777" w:rsidR="00836E96" w:rsidRPr="00224554" w:rsidRDefault="00836E9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C480" w14:textId="77777777" w:rsidR="00836E96" w:rsidRPr="00224554" w:rsidRDefault="00E01636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Dookreślenie rejestru i podstawy prawnej, z którego dane mają pochodzić.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2CD4" w14:textId="47E1B60C" w:rsidR="00420D21" w:rsidRPr="00AA2794" w:rsidRDefault="004462DA" w:rsidP="00224554">
            <w:pPr>
              <w:jc w:val="both"/>
              <w:rPr>
                <w:rFonts w:ascii="Lato" w:hAnsi="Lato" w:cstheme="minorHAnsi"/>
                <w:sz w:val="18"/>
                <w:szCs w:val="18"/>
              </w:rPr>
            </w:pPr>
            <w:r w:rsidRPr="00224554">
              <w:rPr>
                <w:rFonts w:ascii="Lato" w:hAnsi="Lato" w:cstheme="minorHAnsi"/>
                <w:sz w:val="18"/>
                <w:szCs w:val="18"/>
              </w:rPr>
              <w:t>Z</w:t>
            </w:r>
            <w:r w:rsidR="00856D66" w:rsidRPr="00224554">
              <w:rPr>
                <w:rFonts w:ascii="Lato" w:hAnsi="Lato" w:cstheme="minorHAnsi"/>
                <w:sz w:val="18"/>
                <w:szCs w:val="18"/>
              </w:rPr>
              <w:t>weryfikowano i z</w:t>
            </w:r>
            <w:r w:rsidRPr="00224554">
              <w:rPr>
                <w:rFonts w:ascii="Lato" w:hAnsi="Lato" w:cstheme="minorHAnsi"/>
                <w:sz w:val="18"/>
                <w:szCs w:val="18"/>
              </w:rPr>
              <w:t>modyfikowano zapis</w:t>
            </w:r>
            <w:r w:rsidR="00856D66" w:rsidRPr="00224554">
              <w:rPr>
                <w:rFonts w:ascii="Lato" w:hAnsi="Lato" w:cstheme="minorHAnsi"/>
                <w:sz w:val="18"/>
                <w:szCs w:val="18"/>
              </w:rPr>
              <w:t>y dotyczące rejestru nr 5.</w:t>
            </w:r>
          </w:p>
        </w:tc>
      </w:tr>
    </w:tbl>
    <w:p w14:paraId="2E86462B" w14:textId="77777777" w:rsidR="00836E96" w:rsidRPr="00AA2794" w:rsidRDefault="00836E96" w:rsidP="00AA2794">
      <w:pPr>
        <w:rPr>
          <w:rFonts w:ascii="Lato" w:hAnsi="Lato"/>
          <w:sz w:val="18"/>
          <w:szCs w:val="18"/>
        </w:rPr>
      </w:pPr>
    </w:p>
    <w:sectPr w:rsidR="00836E96" w:rsidRPr="00AA2794">
      <w:pgSz w:w="16838" w:h="11906" w:orient="landscape"/>
      <w:pgMar w:top="720" w:right="720" w:bottom="720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3EA44" w14:textId="77777777" w:rsidR="00E01636" w:rsidRDefault="00E01636">
      <w:r>
        <w:separator/>
      </w:r>
    </w:p>
  </w:endnote>
  <w:endnote w:type="continuationSeparator" w:id="0">
    <w:p w14:paraId="4E336168" w14:textId="77777777" w:rsidR="00E01636" w:rsidRDefault="00E0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Carlito">
    <w:altName w:val="Calibri"/>
    <w:charset w:val="01"/>
    <w:family w:val="swiss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EAF8C" w14:textId="77777777" w:rsidR="00E01636" w:rsidRDefault="00E01636">
      <w:r>
        <w:separator/>
      </w:r>
    </w:p>
  </w:footnote>
  <w:footnote w:type="continuationSeparator" w:id="0">
    <w:p w14:paraId="03A0C402" w14:textId="77777777" w:rsidR="00E01636" w:rsidRDefault="00E01636">
      <w:r>
        <w:continuationSeparator/>
      </w:r>
    </w:p>
  </w:footnote>
  <w:footnote w:id="1">
    <w:p w14:paraId="7BF1BE03" w14:textId="77777777" w:rsidR="00AA2794" w:rsidRPr="00004C2B" w:rsidRDefault="00AA2794" w:rsidP="00AA2794">
      <w:pPr>
        <w:pStyle w:val="Tekstprzypisudolnego"/>
        <w:ind w:firstLine="0"/>
        <w:rPr>
          <w:rFonts w:ascii="Lato" w:hAnsi="Lato"/>
          <w:sz w:val="18"/>
          <w:szCs w:val="18"/>
        </w:rPr>
      </w:pPr>
      <w:r w:rsidRPr="00004C2B">
        <w:rPr>
          <w:rStyle w:val="Odwoanieprzypisudolnego"/>
          <w:rFonts w:ascii="Lato" w:hAnsi="Lato"/>
          <w:sz w:val="18"/>
          <w:szCs w:val="18"/>
        </w:rPr>
        <w:footnoteRef/>
      </w:r>
      <w:r w:rsidRPr="00004C2B">
        <w:rPr>
          <w:rFonts w:ascii="Lato" w:hAnsi="Lato"/>
          <w:sz w:val="18"/>
          <w:szCs w:val="18"/>
        </w:rPr>
        <w:t xml:space="preserve"> </w:t>
      </w:r>
      <w:r w:rsidRPr="00004C2B">
        <w:rPr>
          <w:rFonts w:ascii="Lato" w:hAnsi="Lato" w:cs="Arial"/>
          <w:sz w:val="18"/>
          <w:szCs w:val="18"/>
        </w:rPr>
        <w:t>Dz.U. z 2022 r. poz. 1105 ze zm.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61C1"/>
    <w:multiLevelType w:val="multilevel"/>
    <w:tmpl w:val="F50A41F6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2623B6"/>
    <w:multiLevelType w:val="hybridMultilevel"/>
    <w:tmpl w:val="7F3A48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0B57DD"/>
    <w:multiLevelType w:val="multilevel"/>
    <w:tmpl w:val="1D1E64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B5E6255"/>
    <w:multiLevelType w:val="multilevel"/>
    <w:tmpl w:val="21DA2C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D94FD5"/>
    <w:multiLevelType w:val="multilevel"/>
    <w:tmpl w:val="AAECC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B3F1160"/>
    <w:multiLevelType w:val="multilevel"/>
    <w:tmpl w:val="90B60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1D0795D"/>
    <w:multiLevelType w:val="multilevel"/>
    <w:tmpl w:val="8B1E9E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3A7227B"/>
    <w:multiLevelType w:val="multilevel"/>
    <w:tmpl w:val="F5AECD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F5659C0"/>
    <w:multiLevelType w:val="multilevel"/>
    <w:tmpl w:val="CC8A40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42974CE"/>
    <w:multiLevelType w:val="multilevel"/>
    <w:tmpl w:val="C60A2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56E130FC"/>
    <w:multiLevelType w:val="hybridMultilevel"/>
    <w:tmpl w:val="C6E619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695276"/>
    <w:multiLevelType w:val="multilevel"/>
    <w:tmpl w:val="988824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7E6790B"/>
    <w:multiLevelType w:val="multilevel"/>
    <w:tmpl w:val="EE9A0B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B2D4D0F"/>
    <w:multiLevelType w:val="multilevel"/>
    <w:tmpl w:val="1D6C01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12"/>
  </w:num>
  <w:num w:numId="6">
    <w:abstractNumId w:val="11"/>
  </w:num>
  <w:num w:numId="7">
    <w:abstractNumId w:val="13"/>
  </w:num>
  <w:num w:numId="8">
    <w:abstractNumId w:val="8"/>
  </w:num>
  <w:num w:numId="9">
    <w:abstractNumId w:val="9"/>
  </w:num>
  <w:num w:numId="10">
    <w:abstractNumId w:val="5"/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96"/>
    <w:rsid w:val="000232EE"/>
    <w:rsid w:val="001E3A3C"/>
    <w:rsid w:val="001F5E8C"/>
    <w:rsid w:val="00224554"/>
    <w:rsid w:val="003463A3"/>
    <w:rsid w:val="003D2E16"/>
    <w:rsid w:val="00420D21"/>
    <w:rsid w:val="004462DA"/>
    <w:rsid w:val="00585EA5"/>
    <w:rsid w:val="00755BA5"/>
    <w:rsid w:val="00803C99"/>
    <w:rsid w:val="00836E96"/>
    <w:rsid w:val="00856D66"/>
    <w:rsid w:val="00973DF3"/>
    <w:rsid w:val="00A53426"/>
    <w:rsid w:val="00AA2794"/>
    <w:rsid w:val="00C33975"/>
    <w:rsid w:val="00CF278A"/>
    <w:rsid w:val="00E01636"/>
    <w:rsid w:val="00E031B9"/>
    <w:rsid w:val="00F5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682"/>
  <w15:docId w15:val="{3FB085DD-DCFB-429A-AAF3-D575EDF9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agwekuser"/>
    <w:next w:val="Tekstpodstawowy"/>
    <w:qFormat/>
    <w:pPr>
      <w:numPr>
        <w:ilvl w:val="1"/>
        <w:numId w:val="2"/>
      </w:numPr>
      <w:spacing w:before="200"/>
      <w:outlineLvl w:val="1"/>
    </w:pPr>
    <w:rPr>
      <w:rFonts w:eastAsia="DejaVu Sans" w:cs="DejaVu Sans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A06425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93672"/>
    <w:rPr>
      <w:rFonts w:ascii="Calibri" w:eastAsia="Calibri" w:hAnsi="Calibri"/>
      <w:lang w:eastAsia="en-US"/>
    </w:rPr>
  </w:style>
  <w:style w:type="character" w:customStyle="1" w:styleId="Znakiprzypiswdolnychuser">
    <w:name w:val="Znaki przypisów dolnych (user)"/>
    <w:uiPriority w:val="99"/>
    <w:unhideWhenUsed/>
    <w:qFormat/>
    <w:rsid w:val="00393672"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uiPriority w:val="99"/>
    <w:qFormat/>
    <w:rPr>
      <w:vertAlign w:val="superscript"/>
    </w:rPr>
  </w:style>
  <w:style w:type="character" w:styleId="Numerwiersza">
    <w:name w:val="line number"/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Pogrubienie">
    <w:name w:val="Strong"/>
    <w:qFormat/>
    <w:rPr>
      <w:b/>
      <w:bCs/>
    </w:rPr>
  </w:style>
  <w:style w:type="character" w:styleId="UyteHipercze">
    <w:name w:val="FollowedHyperlink"/>
    <w:basedOn w:val="Domylnaczcionkaakapitu"/>
    <w:rPr>
      <w:color w:val="954F72" w:themeColor="followedHyperlink"/>
      <w:u w:val="single"/>
    </w:rPr>
  </w:style>
  <w:style w:type="character" w:customStyle="1" w:styleId="AkapitzlistZnak">
    <w:name w:val="Akapit z listą Znak"/>
    <w:qFormat/>
    <w:rPr>
      <w:sz w:val="24"/>
      <w:szCs w:val="24"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komentarzaZnak">
    <w:name w:val="Tekst komentarz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character" w:customStyle="1" w:styleId="Znakinumeracjiuser">
    <w:name w:val="Znaki numeracji (user)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Noto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Noto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Noto Sans"/>
    </w:rPr>
  </w:style>
  <w:style w:type="paragraph" w:styleId="Tekstdymka">
    <w:name w:val="Balloon Text"/>
    <w:basedOn w:val="Normalny"/>
    <w:link w:val="TekstdymkaZnak"/>
    <w:qFormat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716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393672"/>
    <w:pPr>
      <w:ind w:firstLine="709"/>
      <w:jc w:val="both"/>
    </w:pPr>
    <w:rPr>
      <w:rFonts w:ascii="Calibri" w:eastAsia="Calibri" w:hAnsi="Calibri"/>
      <w:sz w:val="20"/>
      <w:szCs w:val="20"/>
      <w:lang w:eastAsia="en-US"/>
    </w:rPr>
  </w:style>
  <w:style w:type="paragraph" w:customStyle="1" w:styleId="divpoint">
    <w:name w:val="div.point"/>
    <w:uiPriority w:val="99"/>
    <w:qFormat/>
    <w:rsid w:val="00393672"/>
    <w:pPr>
      <w:widowControl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qFormat/>
    <w:rsid w:val="00393672"/>
    <w:pPr>
      <w:widowControl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styleId="Poprawka">
    <w:name w:val="Revision"/>
    <w:uiPriority w:val="99"/>
    <w:semiHidden/>
    <w:qFormat/>
    <w:rsid w:val="00240C5B"/>
    <w:rPr>
      <w:sz w:val="24"/>
      <w:szCs w:val="24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Gwkaistopkauser">
    <w:name w:val="Główka i stopka (user)"/>
    <w:basedOn w:val="Normalny"/>
    <w:qFormat/>
    <w:pPr>
      <w:suppressLineNumbers/>
      <w:tabs>
        <w:tab w:val="center" w:pos="7699"/>
        <w:tab w:val="right" w:pos="15398"/>
      </w:tabs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customStyle="1" w:styleId="Zawartolistyuser">
    <w:name w:val="Zawartość listy (user)"/>
    <w:basedOn w:val="Normalny"/>
    <w:qFormat/>
    <w:pPr>
      <w:ind w:left="567"/>
    </w:p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4982</Words>
  <Characters>29898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dc:description/>
  <cp:lastModifiedBy>Adamczewski Kamil</cp:lastModifiedBy>
  <cp:revision>3</cp:revision>
  <dcterms:created xsi:type="dcterms:W3CDTF">2025-12-19T13:44:00Z</dcterms:created>
  <dcterms:modified xsi:type="dcterms:W3CDTF">2025-12-19T13:51:00Z</dcterms:modified>
  <dc:language>pl-PL</dc:language>
</cp:coreProperties>
</file>